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8f6q1gmj9rf1" w:id="0"/>
      <w:bookmarkEnd w:id="0"/>
      <w:r w:rsidDel="00000000" w:rsidR="00000000" w:rsidRPr="00000000">
        <w:rPr>
          <w:rtl w:val="0"/>
        </w:rPr>
        <w:t xml:space="preserve">Brain Injury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brt0r93es12c" w:id="1"/>
      <w:bookmarkEnd w:id="1"/>
      <w:r w:rsidDel="00000000" w:rsidR="00000000" w:rsidRPr="00000000">
        <w:rPr>
          <w:rtl w:val="0"/>
        </w:rPr>
        <w:t xml:space="preserve">Possible effects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Cognitive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Memory loss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Concentration issues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Trouble processing thoughts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Judgement problems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Disorientation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dysfunction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Fogginess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Physical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Seizure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Speech impairment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Chronic pain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Tinnitus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Mobility issues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Sensory sensitivity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Sensory loss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Fatigue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Emotional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Mood swings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Depression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Anxiety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Irritability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Apathy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Emotional lability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Emotional dysregulation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Behavioural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Anxiety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Disinhibition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Lack of initiative or motivation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Anger/aggression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Social inappropriateness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While many individuals recover from a BI with appropriate treatment &amp; rehabilitation, recovery times can vary significantly. Some may experience rapid improvement, whereas others face long-term challenges. BI can also increase vulnerability to additional BIs, which may lead to more severe outcomes. It's essential to manage BI carefully and seek ongoing medical &amp; rehabilitative support to mitigate risks &amp; enhance recovery prospects for the individual.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more info, visit braininjurycanada.ca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