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f6q1gmj9rf1" w:id="0"/>
      <w:bookmarkEnd w:id="0"/>
      <w:r w:rsidDel="00000000" w:rsidR="00000000" w:rsidRPr="00000000">
        <w:rPr>
          <w:rtl w:val="0"/>
        </w:rPr>
        <w:t xml:space="preserve">Brain Injury</w:t>
      </w:r>
    </w:p>
    <w:p w:rsidR="00000000" w:rsidDel="00000000" w:rsidP="00000000" w:rsidRDefault="00000000" w:rsidRPr="00000000" w14:paraId="00000002">
      <w:pPr>
        <w:spacing w:after="240" w:before="240" w:lineRule="auto"/>
        <w:rPr/>
      </w:pPr>
      <w:r w:rsidDel="00000000" w:rsidR="00000000" w:rsidRPr="00000000">
        <w:rPr>
          <w:rtl w:val="0"/>
        </w:rPr>
        <w:t xml:space="preserve">A brain injury (BI) refers to any damage to the brain that occurs after birth and is not related to a congenital or a degenerative disease. It includes Traumatic brain injury (TBI) and Non-traumatic brain injury (nTBI).</w:t>
      </w:r>
    </w:p>
    <w:p w:rsidR="00000000" w:rsidDel="00000000" w:rsidP="00000000" w:rsidRDefault="00000000" w:rsidRPr="00000000" w14:paraId="00000003">
      <w:pPr>
        <w:spacing w:after="240" w:before="240" w:lineRule="auto"/>
        <w:rPr/>
      </w:pPr>
      <w:r w:rsidDel="00000000" w:rsidR="00000000" w:rsidRPr="00000000">
        <w:rPr>
          <w:rtl w:val="0"/>
        </w:rPr>
        <w:t xml:space="preserve">40.5 million: Population of Canada</w:t>
      </w:r>
    </w:p>
    <w:p w:rsidR="00000000" w:rsidDel="00000000" w:rsidP="00000000" w:rsidRDefault="00000000" w:rsidRPr="00000000" w14:paraId="00000004">
      <w:pPr>
        <w:spacing w:after="240" w:before="240" w:lineRule="auto"/>
        <w:rPr/>
      </w:pPr>
      <w:r w:rsidDel="00000000" w:rsidR="00000000" w:rsidRPr="00000000">
        <w:rPr>
          <w:rtl w:val="0"/>
        </w:rPr>
        <w:t xml:space="preserve">200 thousand: Estimated number of TBIs that occur in Canada each year</w:t>
      </w:r>
    </w:p>
    <w:p w:rsidR="00000000" w:rsidDel="00000000" w:rsidP="00000000" w:rsidRDefault="00000000" w:rsidRPr="00000000" w14:paraId="00000005">
      <w:pPr>
        <w:spacing w:after="240" w:before="240" w:lineRule="auto"/>
        <w:rPr/>
      </w:pPr>
      <w:r w:rsidDel="00000000" w:rsidR="00000000" w:rsidRPr="00000000">
        <w:rPr>
          <w:rtl w:val="0"/>
        </w:rPr>
        <w:t xml:space="preserve">1.6 million: The number of estimated Canadians living with BI.</w:t>
      </w:r>
    </w:p>
    <w:p w:rsidR="00000000" w:rsidDel="00000000" w:rsidP="00000000" w:rsidRDefault="00000000" w:rsidRPr="00000000" w14:paraId="00000006">
      <w:pPr>
        <w:spacing w:after="240" w:before="240" w:lineRule="auto"/>
        <w:rPr/>
      </w:pPr>
      <w:r w:rsidDel="00000000" w:rsidR="00000000" w:rsidRPr="00000000">
        <w:rPr>
          <w:rtl w:val="0"/>
        </w:rPr>
        <w:t xml:space="preserve">Brain injury can impact every aspect of a person’s life.</w:t>
      </w:r>
    </w:p>
    <w:p w:rsidR="00000000" w:rsidDel="00000000" w:rsidP="00000000" w:rsidRDefault="00000000" w:rsidRPr="00000000" w14:paraId="00000007">
      <w:pPr>
        <w:spacing w:after="240" w:before="240" w:lineRule="auto"/>
        <w:rPr/>
      </w:pPr>
      <w:r w:rsidDel="00000000" w:rsidR="00000000" w:rsidRPr="00000000">
        <w:rPr>
          <w:rtl w:val="0"/>
        </w:rPr>
        <w:t xml:space="preserve">What you can see:</w:t>
      </w:r>
    </w:p>
    <w:p w:rsidR="00000000" w:rsidDel="00000000" w:rsidP="00000000" w:rsidRDefault="00000000" w:rsidRPr="00000000" w14:paraId="00000008">
      <w:pPr>
        <w:numPr>
          <w:ilvl w:val="0"/>
          <w:numId w:val="1"/>
        </w:numPr>
        <w:spacing w:after="0" w:afterAutospacing="0" w:before="240" w:lineRule="auto"/>
        <w:ind w:left="720" w:hanging="360"/>
        <w:rPr>
          <w:u w:val="none"/>
        </w:rPr>
      </w:pPr>
      <w:r w:rsidDel="00000000" w:rsidR="00000000" w:rsidRPr="00000000">
        <w:rPr>
          <w:rtl w:val="0"/>
        </w:rPr>
        <w:t xml:space="preserve">Mobility challenges</w:t>
      </w:r>
    </w:p>
    <w:p w:rsidR="00000000" w:rsidDel="00000000" w:rsidP="00000000" w:rsidRDefault="00000000" w:rsidRPr="00000000" w14:paraId="00000009">
      <w:pPr>
        <w:numPr>
          <w:ilvl w:val="0"/>
          <w:numId w:val="1"/>
        </w:numPr>
        <w:spacing w:after="0" w:afterAutospacing="0" w:before="0" w:beforeAutospacing="0" w:lineRule="auto"/>
        <w:ind w:left="720" w:hanging="360"/>
        <w:rPr>
          <w:u w:val="none"/>
        </w:rPr>
      </w:pPr>
      <w:r w:rsidDel="00000000" w:rsidR="00000000" w:rsidRPr="00000000">
        <w:rPr>
          <w:rtl w:val="0"/>
        </w:rPr>
        <w:t xml:space="preserve">Problems with speech</w:t>
      </w:r>
    </w:p>
    <w:p w:rsidR="00000000" w:rsidDel="00000000" w:rsidP="00000000" w:rsidRDefault="00000000" w:rsidRPr="00000000" w14:paraId="0000000A">
      <w:pPr>
        <w:numPr>
          <w:ilvl w:val="0"/>
          <w:numId w:val="1"/>
        </w:numPr>
        <w:spacing w:after="0" w:afterAutospacing="0" w:before="0" w:beforeAutospacing="0" w:lineRule="auto"/>
        <w:ind w:left="720" w:hanging="360"/>
        <w:rPr>
          <w:u w:val="none"/>
        </w:rPr>
      </w:pPr>
      <w:r w:rsidDel="00000000" w:rsidR="00000000" w:rsidRPr="00000000">
        <w:rPr>
          <w:rtl w:val="0"/>
        </w:rPr>
        <w:t xml:space="preserve">Dizziness</w:t>
      </w:r>
    </w:p>
    <w:p w:rsidR="00000000" w:rsidDel="00000000" w:rsidP="00000000" w:rsidRDefault="00000000" w:rsidRPr="00000000" w14:paraId="0000000B">
      <w:pPr>
        <w:numPr>
          <w:ilvl w:val="0"/>
          <w:numId w:val="1"/>
        </w:numPr>
        <w:spacing w:after="0" w:afterAutospacing="0" w:before="0" w:beforeAutospacing="0" w:lineRule="auto"/>
        <w:ind w:left="720" w:hanging="360"/>
        <w:rPr>
          <w:u w:val="none"/>
        </w:rPr>
      </w:pPr>
      <w:r w:rsidDel="00000000" w:rsidR="00000000" w:rsidRPr="00000000">
        <w:rPr>
          <w:rtl w:val="0"/>
        </w:rPr>
        <w:t xml:space="preserve">Loss of balance</w:t>
      </w:r>
    </w:p>
    <w:p w:rsidR="00000000" w:rsidDel="00000000" w:rsidP="00000000" w:rsidRDefault="00000000" w:rsidRPr="00000000" w14:paraId="0000000C">
      <w:pPr>
        <w:numPr>
          <w:ilvl w:val="0"/>
          <w:numId w:val="1"/>
        </w:numPr>
        <w:spacing w:after="0" w:afterAutospacing="0" w:before="0" w:beforeAutospacing="0" w:lineRule="auto"/>
        <w:ind w:left="720" w:hanging="360"/>
        <w:rPr>
          <w:u w:val="none"/>
        </w:rPr>
      </w:pPr>
      <w:r w:rsidDel="00000000" w:rsidR="00000000" w:rsidRPr="00000000">
        <w:rPr>
          <w:rtl w:val="0"/>
        </w:rPr>
        <w:t xml:space="preserve">Seizures</w:t>
      </w:r>
    </w:p>
    <w:p w:rsidR="00000000" w:rsidDel="00000000" w:rsidP="00000000" w:rsidRDefault="00000000" w:rsidRPr="00000000" w14:paraId="0000000D">
      <w:pPr>
        <w:numPr>
          <w:ilvl w:val="0"/>
          <w:numId w:val="1"/>
        </w:numPr>
        <w:spacing w:after="240" w:before="0" w:beforeAutospacing="0" w:lineRule="auto"/>
        <w:ind w:left="720" w:hanging="360"/>
        <w:rPr>
          <w:u w:val="none"/>
        </w:rPr>
      </w:pPr>
      <w:r w:rsidDel="00000000" w:rsidR="00000000" w:rsidRPr="00000000">
        <w:rPr>
          <w:rtl w:val="0"/>
        </w:rPr>
        <w:t xml:space="preserve">Social inappropriateness</w:t>
      </w:r>
    </w:p>
    <w:p w:rsidR="00000000" w:rsidDel="00000000" w:rsidP="00000000" w:rsidRDefault="00000000" w:rsidRPr="00000000" w14:paraId="0000000E">
      <w:pPr>
        <w:spacing w:after="240" w:before="240" w:lineRule="auto"/>
        <w:rPr/>
      </w:pPr>
      <w:r w:rsidDel="00000000" w:rsidR="00000000" w:rsidRPr="00000000">
        <w:rPr>
          <w:rtl w:val="0"/>
        </w:rPr>
        <w:t xml:space="preserve">What you may not see:</w:t>
      </w:r>
    </w:p>
    <w:p w:rsidR="00000000" w:rsidDel="00000000" w:rsidP="00000000" w:rsidRDefault="00000000" w:rsidRPr="00000000" w14:paraId="0000000F">
      <w:pPr>
        <w:numPr>
          <w:ilvl w:val="0"/>
          <w:numId w:val="2"/>
        </w:numPr>
        <w:spacing w:after="0" w:afterAutospacing="0" w:before="240" w:lineRule="auto"/>
        <w:ind w:left="720" w:hanging="360"/>
        <w:rPr>
          <w:u w:val="none"/>
        </w:rPr>
      </w:pPr>
      <w:r w:rsidDel="00000000" w:rsidR="00000000" w:rsidRPr="00000000">
        <w:rPr>
          <w:rtl w:val="0"/>
        </w:rPr>
        <w:t xml:space="preserve">More time needed to process information</w:t>
      </w:r>
    </w:p>
    <w:p w:rsidR="00000000" w:rsidDel="00000000" w:rsidP="00000000" w:rsidRDefault="00000000" w:rsidRPr="00000000" w14:paraId="00000010">
      <w:pPr>
        <w:numPr>
          <w:ilvl w:val="0"/>
          <w:numId w:val="2"/>
        </w:numPr>
        <w:spacing w:after="0" w:afterAutospacing="0" w:before="0" w:beforeAutospacing="0" w:lineRule="auto"/>
        <w:ind w:left="720" w:hanging="360"/>
        <w:rPr>
          <w:u w:val="none"/>
        </w:rPr>
      </w:pPr>
      <w:r w:rsidDel="00000000" w:rsidR="00000000" w:rsidRPr="00000000">
        <w:rPr>
          <w:rtl w:val="0"/>
        </w:rPr>
        <w:t xml:space="preserve">Difficulty with memory, concentration and reasoning</w:t>
      </w:r>
    </w:p>
    <w:p w:rsidR="00000000" w:rsidDel="00000000" w:rsidP="00000000" w:rsidRDefault="00000000" w:rsidRPr="00000000" w14:paraId="00000011">
      <w:pPr>
        <w:numPr>
          <w:ilvl w:val="0"/>
          <w:numId w:val="2"/>
        </w:numPr>
        <w:spacing w:after="0" w:afterAutospacing="0" w:before="0" w:beforeAutospacing="0" w:lineRule="auto"/>
        <w:ind w:left="720" w:hanging="360"/>
        <w:rPr>
          <w:u w:val="none"/>
        </w:rPr>
      </w:pPr>
      <w:r w:rsidDel="00000000" w:rsidR="00000000" w:rsidRPr="00000000">
        <w:rPr>
          <w:rtl w:val="0"/>
        </w:rPr>
        <w:t xml:space="preserve">Headaches</w:t>
      </w:r>
    </w:p>
    <w:p w:rsidR="00000000" w:rsidDel="00000000" w:rsidP="00000000" w:rsidRDefault="00000000" w:rsidRPr="00000000" w14:paraId="00000012">
      <w:pPr>
        <w:numPr>
          <w:ilvl w:val="0"/>
          <w:numId w:val="2"/>
        </w:numPr>
        <w:spacing w:after="0" w:afterAutospacing="0" w:before="0" w:beforeAutospacing="0" w:lineRule="auto"/>
        <w:ind w:left="720" w:hanging="360"/>
        <w:rPr>
          <w:u w:val="none"/>
        </w:rPr>
      </w:pPr>
      <w:r w:rsidDel="00000000" w:rsidR="00000000" w:rsidRPr="00000000">
        <w:rPr>
          <w:rtl w:val="0"/>
        </w:rPr>
        <w:t xml:space="preserve">Sensitivity to light/sound</w:t>
      </w:r>
    </w:p>
    <w:p w:rsidR="00000000" w:rsidDel="00000000" w:rsidP="00000000" w:rsidRDefault="00000000" w:rsidRPr="00000000" w14:paraId="00000013">
      <w:pPr>
        <w:numPr>
          <w:ilvl w:val="0"/>
          <w:numId w:val="2"/>
        </w:numPr>
        <w:spacing w:after="0" w:afterAutospacing="0" w:before="0" w:beforeAutospacing="0" w:lineRule="auto"/>
        <w:ind w:left="720" w:hanging="360"/>
        <w:rPr>
          <w:u w:val="none"/>
        </w:rPr>
      </w:pPr>
      <w:r w:rsidDel="00000000" w:rsidR="00000000" w:rsidRPr="00000000">
        <w:rPr>
          <w:rtl w:val="0"/>
        </w:rPr>
        <w:t xml:space="preserve">Sadness, anger, depression and anxiety</w:t>
      </w:r>
    </w:p>
    <w:p w:rsidR="00000000" w:rsidDel="00000000" w:rsidP="00000000" w:rsidRDefault="00000000" w:rsidRPr="00000000" w14:paraId="00000014">
      <w:pPr>
        <w:numPr>
          <w:ilvl w:val="0"/>
          <w:numId w:val="2"/>
        </w:numPr>
        <w:spacing w:after="0" w:afterAutospacing="0" w:before="0" w:beforeAutospacing="0" w:lineRule="auto"/>
        <w:ind w:left="720" w:hanging="360"/>
        <w:rPr>
          <w:u w:val="none"/>
        </w:rPr>
      </w:pPr>
      <w:r w:rsidDel="00000000" w:rsidR="00000000" w:rsidRPr="00000000">
        <w:rPr>
          <w:rtl w:val="0"/>
        </w:rPr>
        <w:t xml:space="preserve">Loss of self</w:t>
      </w:r>
    </w:p>
    <w:p w:rsidR="00000000" w:rsidDel="00000000" w:rsidP="00000000" w:rsidRDefault="00000000" w:rsidRPr="00000000" w14:paraId="00000015">
      <w:pPr>
        <w:numPr>
          <w:ilvl w:val="0"/>
          <w:numId w:val="2"/>
        </w:numPr>
        <w:spacing w:after="0" w:afterAutospacing="0" w:before="0" w:beforeAutospacing="0" w:lineRule="auto"/>
        <w:ind w:left="720" w:hanging="360"/>
        <w:rPr>
          <w:u w:val="none"/>
        </w:rPr>
      </w:pPr>
      <w:r w:rsidDel="00000000" w:rsidR="00000000" w:rsidRPr="00000000">
        <w:rPr>
          <w:rtl w:val="0"/>
        </w:rPr>
        <w:t xml:space="preserve">Denial and grief</w:t>
      </w:r>
    </w:p>
    <w:p w:rsidR="00000000" w:rsidDel="00000000" w:rsidP="00000000" w:rsidRDefault="00000000" w:rsidRPr="00000000" w14:paraId="00000016">
      <w:pPr>
        <w:numPr>
          <w:ilvl w:val="0"/>
          <w:numId w:val="2"/>
        </w:numPr>
        <w:spacing w:after="240" w:before="0" w:beforeAutospacing="0" w:lineRule="auto"/>
        <w:ind w:left="720" w:hanging="360"/>
        <w:rPr>
          <w:u w:val="none"/>
        </w:rPr>
      </w:pPr>
      <w:r w:rsidDel="00000000" w:rsidR="00000000" w:rsidRPr="00000000">
        <w:rPr>
          <w:rtl w:val="0"/>
        </w:rPr>
        <w:t xml:space="preserve">Social isolation</w:t>
      </w:r>
    </w:p>
    <w:p w:rsidR="00000000" w:rsidDel="00000000" w:rsidP="00000000" w:rsidRDefault="00000000" w:rsidRPr="00000000" w14:paraId="00000017">
      <w:pPr>
        <w:spacing w:after="240" w:before="240" w:lineRule="auto"/>
        <w:rPr/>
      </w:pPr>
      <w:r w:rsidDel="00000000" w:rsidR="00000000" w:rsidRPr="00000000">
        <w:rPr>
          <w:rtl w:val="0"/>
        </w:rPr>
        <w:t xml:space="preserve">and much more...</w:t>
      </w:r>
    </w:p>
    <w:p w:rsidR="00000000" w:rsidDel="00000000" w:rsidP="00000000" w:rsidRDefault="00000000" w:rsidRPr="00000000" w14:paraId="00000018">
      <w:pPr>
        <w:spacing w:after="240" w:before="240" w:lineRule="auto"/>
        <w:rPr/>
      </w:pPr>
      <w:r w:rsidDel="00000000" w:rsidR="00000000" w:rsidRPr="00000000">
        <w:rPr>
          <w:rtl w:val="0"/>
        </w:rPr>
        <w:t xml:space="preserve">The impact of BI on someone can vary greatly depending on several factors (such as the location and severity of the injury), making each person's experience unique. These changes can affect not only the individual with the injury but also their relationships with family, friends, and caregivers, often requiring support from the wider community. While some effects may improve over time with rehabilitation and support, others may be long-term challenges.</w:t>
      </w:r>
    </w:p>
    <w:p w:rsidR="00000000" w:rsidDel="00000000" w:rsidP="00000000" w:rsidRDefault="00000000" w:rsidRPr="00000000" w14:paraId="00000019">
      <w:pPr>
        <w:spacing w:after="240" w:before="240" w:lineRule="auto"/>
        <w:rPr/>
      </w:pPr>
      <w:r w:rsidDel="00000000" w:rsidR="00000000" w:rsidRPr="00000000">
        <w:rPr>
          <w:rtl w:val="0"/>
        </w:rPr>
        <w:t xml:space="preserve">For more info, visit braininjurycanada.ca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