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Rule="auto"/>
        <w:rPr/>
      </w:pPr>
      <w:bookmarkStart w:colFirst="0" w:colLast="0" w:name="_xvi9mguo3lvv" w:id="0"/>
      <w:bookmarkEnd w:id="0"/>
      <w:r w:rsidDel="00000000" w:rsidR="00000000" w:rsidRPr="00000000">
        <w:rPr>
          <w:rtl w:val="0"/>
        </w:rPr>
        <w:t xml:space="preserve">Intersections of brain injury</w:t>
      </w:r>
    </w:p>
    <w:p w:rsidR="00000000" w:rsidDel="00000000" w:rsidP="00000000" w:rsidRDefault="00000000" w:rsidRPr="00000000" w14:paraId="00000002">
      <w:pPr>
        <w:pStyle w:val="Heading2"/>
        <w:spacing w:after="240" w:before="240" w:lineRule="auto"/>
        <w:rPr/>
      </w:pPr>
      <w:bookmarkStart w:colFirst="0" w:colLast="0" w:name="_tqsuivpt6wvk" w:id="1"/>
      <w:bookmarkEnd w:id="1"/>
      <w:r w:rsidDel="00000000" w:rsidR="00000000" w:rsidRPr="00000000">
        <w:rPr>
          <w:rtl w:val="0"/>
        </w:rPr>
        <w:t xml:space="preserve">Under/unemployment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Brain injury (BI) poses major barriers for individuals to make a living, which can result in loss of income and financial strain. One-third of adults living with BI identify managing money and paying bills as a significant area of concern. Financial and career struggles amount to the most significant obstacles to meeting rehabilitation needs and pose a barrier to community participation.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Low income &amp; brain injury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Multiple studies have established a correlation between poverty and reduced income levels with an elevated likelihood of traumatic brain injury (TBI). Research shows that individuals living in economically disadvantaged neighborhoods face a greater risk of hospitalizations due to TBI in comparison to those in more affluent areas.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Career impacts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 Ontario Brain Injury Association report found that 75% of respondents indicated they were employed before their BI. However, 87% indicated that they are not currently employed following a BI.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Effects of under/unemployment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Unemployment and underemployment—which is common after BI—can lead to poor psychosocial outcomes, decreased community integration, and economic dependence.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way forward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need to develop holistic, realistic, and individualized plans inclusive of employees, employers and workplaces, aimed to bridge duties and abilities and provide support over the long-term. By prioritizing these areas, we can strive towards fostering greater opportunities for individuals affected by BI, ensuring their meaningful participation in the workforce and broader society.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For more info, visit braininjurycanada.ca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