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AD60" w14:textId="41BE560A" w:rsidR="00F64DF3" w:rsidRDefault="00F64DF3" w:rsidP="00F64DF3">
      <w:pPr>
        <w:pStyle w:val="Title"/>
        <w:rPr>
          <w:lang w:val="en-US"/>
        </w:rPr>
      </w:pPr>
      <w:r>
        <w:rPr>
          <w:lang w:val="en-US"/>
        </w:rPr>
        <w:t>Barriers to Voting for Individuals Living with Brain Injury</w:t>
      </w:r>
    </w:p>
    <w:p w14:paraId="127FCD50" w14:textId="38581413" w:rsidR="00775A86" w:rsidRDefault="00CC2C00">
      <w:pPr>
        <w:rPr>
          <w:lang w:val="en-US"/>
        </w:rPr>
      </w:pPr>
      <w:r>
        <w:rPr>
          <w:lang w:val="en-US"/>
        </w:rPr>
        <w:t xml:space="preserve">Through our research project on the accessibility of the electoral process, we conducted a variety of research methodologies to gather information on the barriers to the electoral process for individuals living with brain injury. This included literature searches, </w:t>
      </w:r>
      <w:r w:rsidR="00F64DF3">
        <w:rPr>
          <w:lang w:val="en-US"/>
        </w:rPr>
        <w:t>environmental</w:t>
      </w:r>
      <w:r>
        <w:rPr>
          <w:lang w:val="en-US"/>
        </w:rPr>
        <w:t xml:space="preserve"> scans, surveys, focus groups, and interviews. </w:t>
      </w:r>
    </w:p>
    <w:p w14:paraId="11EA0935" w14:textId="3DF7820B" w:rsidR="00CC2C00" w:rsidRDefault="00F64DF3" w:rsidP="00F64DF3">
      <w:pPr>
        <w:pStyle w:val="Heading1"/>
        <w:rPr>
          <w:lang w:val="en-US"/>
        </w:rPr>
      </w:pPr>
      <w:r>
        <w:rPr>
          <w:lang w:val="en-US"/>
        </w:rPr>
        <w:t>Summary of Barriers to Voting.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F64DF3" w14:paraId="7FB1CB12" w14:textId="77777777" w:rsidTr="00F64DF3">
        <w:tc>
          <w:tcPr>
            <w:tcW w:w="1838" w:type="dxa"/>
            <w:vAlign w:val="center"/>
          </w:tcPr>
          <w:p w14:paraId="73D0E46A" w14:textId="58815659" w:rsidR="00F64DF3" w:rsidRDefault="00F64DF3" w:rsidP="00F64DF3">
            <w:pPr>
              <w:rPr>
                <w:lang w:val="en-US"/>
              </w:rPr>
            </w:pPr>
            <w:r>
              <w:rPr>
                <w:rStyle w:val="Strong"/>
                <w:rFonts w:ascii="Arial" w:hAnsi="Arial" w:cs="Arial"/>
              </w:rPr>
              <w:t>Category</w:t>
            </w:r>
          </w:p>
        </w:tc>
        <w:tc>
          <w:tcPr>
            <w:tcW w:w="7512" w:type="dxa"/>
            <w:vAlign w:val="center"/>
          </w:tcPr>
          <w:p w14:paraId="2FD7AA6C" w14:textId="74DA83D3" w:rsidR="00F64DF3" w:rsidRDefault="00F64DF3" w:rsidP="00F64DF3">
            <w:pPr>
              <w:rPr>
                <w:lang w:val="en-US"/>
              </w:rPr>
            </w:pPr>
            <w:r>
              <w:rPr>
                <w:rStyle w:val="Strong"/>
                <w:rFonts w:ascii="Arial" w:hAnsi="Arial" w:cs="Arial"/>
              </w:rPr>
              <w:t>Specific Barriers Identified</w:t>
            </w:r>
          </w:p>
        </w:tc>
      </w:tr>
      <w:tr w:rsidR="00F64DF3" w14:paraId="3A697BD3" w14:textId="77777777" w:rsidTr="00F64DF3">
        <w:tc>
          <w:tcPr>
            <w:tcW w:w="1838" w:type="dxa"/>
          </w:tcPr>
          <w:p w14:paraId="18141786" w14:textId="229E5BA2" w:rsidR="00F64DF3" w:rsidRPr="00F64DF3" w:rsidRDefault="00F64DF3" w:rsidP="00F64DF3">
            <w:pPr>
              <w:rPr>
                <w:lang w:val="en-US"/>
              </w:rPr>
            </w:pPr>
            <w:r w:rsidRPr="00F64DF3">
              <w:rPr>
                <w:rFonts w:ascii="Arial" w:hAnsi="Arial" w:cs="Arial"/>
              </w:rPr>
              <w:t>Legislative</w:t>
            </w:r>
          </w:p>
        </w:tc>
        <w:tc>
          <w:tcPr>
            <w:tcW w:w="7512" w:type="dxa"/>
          </w:tcPr>
          <w:p w14:paraId="4F2FF2E8" w14:textId="4CC5BE10" w:rsidR="00F64DF3" w:rsidRPr="00F64DF3" w:rsidRDefault="00F64DF3" w:rsidP="00F64DF3">
            <w:pPr>
              <w:pStyle w:val="ListParagraph"/>
              <w:numPr>
                <w:ilvl w:val="0"/>
                <w:numId w:val="2"/>
              </w:numPr>
            </w:pPr>
            <w:r w:rsidRPr="00F64DF3">
              <w:t xml:space="preserve">Rigid Requirements: The </w:t>
            </w:r>
            <w:r w:rsidRPr="00F64DF3">
              <w:rPr>
                <w:i/>
                <w:iCs/>
              </w:rPr>
              <w:t>Canada Elections Act</w:t>
            </w:r>
            <w:r w:rsidRPr="00F64DF3">
              <w:t xml:space="preserve"> mandates "pencil and paper" ballots and specific designs that are inaccessible to those with dexterity or memory </w:t>
            </w:r>
            <w:r w:rsidRPr="00F64DF3">
              <w:t>issues.</w:t>
            </w:r>
            <w:r w:rsidRPr="00F64DF3">
              <w:br/>
            </w:r>
          </w:p>
          <w:p w14:paraId="6852574C" w14:textId="6D5395D0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Accessibility Exemptions: Returning officers can legally use inaccessible polling stations if a suitable alternative is unavailable.</w:t>
            </w:r>
          </w:p>
          <w:p w14:paraId="55D729C0" w14:textId="73C38F2E" w:rsidR="00F64DF3" w:rsidRPr="00F64DF3" w:rsidRDefault="00F64DF3" w:rsidP="00F64DF3">
            <w:pPr>
              <w:rPr>
                <w:lang w:val="en-US"/>
              </w:rPr>
            </w:pPr>
          </w:p>
        </w:tc>
      </w:tr>
      <w:tr w:rsidR="00F64DF3" w14:paraId="4D5004BE" w14:textId="77777777" w:rsidTr="00F64DF3">
        <w:tc>
          <w:tcPr>
            <w:tcW w:w="1838" w:type="dxa"/>
          </w:tcPr>
          <w:p w14:paraId="446722D3" w14:textId="6FB503F1" w:rsidR="00F64DF3" w:rsidRPr="00F64DF3" w:rsidRDefault="00F64DF3">
            <w:pPr>
              <w:rPr>
                <w:lang w:val="en-US"/>
              </w:rPr>
            </w:pPr>
            <w:r w:rsidRPr="00F64DF3">
              <w:t>Polling Place Environment</w:t>
            </w:r>
          </w:p>
        </w:tc>
        <w:tc>
          <w:tcPr>
            <w:tcW w:w="7512" w:type="dxa"/>
          </w:tcPr>
          <w:p w14:paraId="5BACEC14" w14:textId="23B8EC08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Sensory Overload: Bright (fluorescent) lighting, high ambient noise, and crowding can overwhelm voters with cognitive disabilities.</w:t>
            </w:r>
          </w:p>
          <w:p w14:paraId="050107DA" w14:textId="0843B75E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Physical Endurance: Long wait times and a lack of seating for those in line are significant obstacles for people with fatigue or physical symptoms.</w:t>
            </w:r>
          </w:p>
          <w:p w14:paraId="1396F0F1" w14:textId="1562F3A8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Built Environment: Inaccessible buildings (e.g., stairs, lack of automatic door openers) and poor wayfinding signage.</w:t>
            </w:r>
          </w:p>
          <w:p w14:paraId="43AFE0CE" w14:textId="77777777" w:rsidR="00F64DF3" w:rsidRPr="00F64DF3" w:rsidRDefault="00F64DF3">
            <w:pPr>
              <w:rPr>
                <w:lang w:val="en-US"/>
              </w:rPr>
            </w:pPr>
          </w:p>
        </w:tc>
      </w:tr>
      <w:tr w:rsidR="00F64DF3" w14:paraId="4810BEE3" w14:textId="77777777" w:rsidTr="00F64DF3">
        <w:tc>
          <w:tcPr>
            <w:tcW w:w="1838" w:type="dxa"/>
          </w:tcPr>
          <w:p w14:paraId="02CEC148" w14:textId="09C1B00D" w:rsidR="00F64DF3" w:rsidRPr="00F64DF3" w:rsidRDefault="00F64DF3">
            <w:r w:rsidRPr="00F64DF3">
              <w:t>Cognitive &amp; Process</w:t>
            </w:r>
            <w:r w:rsidRPr="00F64DF3">
              <w:t xml:space="preserve"> </w:t>
            </w:r>
            <w:r w:rsidRPr="00F64DF3">
              <w:t>Related</w:t>
            </w:r>
          </w:p>
        </w:tc>
        <w:tc>
          <w:tcPr>
            <w:tcW w:w="7512" w:type="dxa"/>
          </w:tcPr>
          <w:p w14:paraId="01275CA6" w14:textId="24AB457C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Complexity: The registration and voting process can be confusing and lead to high cognitive load.</w:t>
            </w:r>
          </w:p>
          <w:p w14:paraId="303C9431" w14:textId="182A2A73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Memory Challenges: Voters may struggle to remember candidate names without visual cues like photos or logos on the ballot.</w:t>
            </w:r>
          </w:p>
          <w:p w14:paraId="1F0DF99D" w14:textId="2A8D54AB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Form Difficulty: Following complex instructions and physically filling out forms is difficult for those with dexterity or processing issues.</w:t>
            </w:r>
          </w:p>
          <w:p w14:paraId="50D9A160" w14:textId="77777777" w:rsidR="00F64DF3" w:rsidRPr="00F64DF3" w:rsidRDefault="00F64DF3" w:rsidP="00F64DF3"/>
        </w:tc>
      </w:tr>
      <w:tr w:rsidR="00F64DF3" w14:paraId="58298CC0" w14:textId="77777777" w:rsidTr="00F64DF3">
        <w:tc>
          <w:tcPr>
            <w:tcW w:w="1838" w:type="dxa"/>
          </w:tcPr>
          <w:p w14:paraId="10BFB4F7" w14:textId="4AB341D1" w:rsidR="00F64DF3" w:rsidRPr="00F64DF3" w:rsidRDefault="00F64DF3">
            <w:r w:rsidRPr="00F64DF3">
              <w:t>Communication &amp; Information</w:t>
            </w:r>
          </w:p>
        </w:tc>
        <w:tc>
          <w:tcPr>
            <w:tcW w:w="7512" w:type="dxa"/>
          </w:tcPr>
          <w:p w14:paraId="3C9C0C4C" w14:textId="165D8143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 xml:space="preserve">Lack of Awareness: Many voters remain unaware of existing accessibility tools and services (e.g., </w:t>
            </w:r>
            <w:r>
              <w:t>large grip pencils</w:t>
            </w:r>
            <w:r w:rsidRPr="00F64DF3">
              <w:t xml:space="preserve"> or assistance marking a ballot).</w:t>
            </w:r>
          </w:p>
          <w:p w14:paraId="48A401BF" w14:textId="1C34A169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Website Inaccessibility: The Elections Canada website layout is described as complex, crowded, and difficult to navigate.</w:t>
            </w:r>
          </w:p>
          <w:p w14:paraId="56E3D5A0" w14:textId="0FDDAB9E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Voter Information Card (VIC): The current VIC design is seen as "busy" and contains too much information to process easily.</w:t>
            </w:r>
          </w:p>
          <w:p w14:paraId="258E1E35" w14:textId="77777777" w:rsidR="00F64DF3" w:rsidRPr="00F64DF3" w:rsidRDefault="00F64DF3" w:rsidP="00F64DF3"/>
        </w:tc>
      </w:tr>
      <w:tr w:rsidR="00F64DF3" w14:paraId="3731B074" w14:textId="77777777" w:rsidTr="00F64DF3">
        <w:tc>
          <w:tcPr>
            <w:tcW w:w="1838" w:type="dxa"/>
          </w:tcPr>
          <w:p w14:paraId="7AE8E311" w14:textId="77777777" w:rsidR="00F64DF3" w:rsidRPr="00F64DF3" w:rsidRDefault="00F64DF3" w:rsidP="00F64DF3">
            <w:r w:rsidRPr="00F64DF3">
              <w:t>Travel &amp; Infrastructure</w:t>
            </w:r>
          </w:p>
          <w:p w14:paraId="49E7B058" w14:textId="77777777" w:rsidR="00F64DF3" w:rsidRPr="00F64DF3" w:rsidRDefault="00F64DF3" w:rsidP="00F64DF3"/>
        </w:tc>
        <w:tc>
          <w:tcPr>
            <w:tcW w:w="7512" w:type="dxa"/>
          </w:tcPr>
          <w:p w14:paraId="77D5C96E" w14:textId="2A210A38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Public Transit: Polling places are not always conveniently located on accessible transit routes.</w:t>
            </w:r>
          </w:p>
          <w:p w14:paraId="586509B1" w14:textId="04A61B88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lastRenderedPageBreak/>
              <w:t>Weather: Snow and ice can prevent access to both physical polling stations and mailboxes for those voting by mail.</w:t>
            </w:r>
          </w:p>
        </w:tc>
      </w:tr>
      <w:tr w:rsidR="00F64DF3" w14:paraId="74509763" w14:textId="77777777" w:rsidTr="00F64DF3">
        <w:tc>
          <w:tcPr>
            <w:tcW w:w="1838" w:type="dxa"/>
          </w:tcPr>
          <w:p w14:paraId="46016A5A" w14:textId="7E1AAC5B" w:rsidR="00F64DF3" w:rsidRPr="00F64DF3" w:rsidRDefault="00F64DF3" w:rsidP="00F64DF3">
            <w:r w:rsidRPr="00F64DF3">
              <w:lastRenderedPageBreak/>
              <w:t>Justice System Specific</w:t>
            </w:r>
          </w:p>
        </w:tc>
        <w:tc>
          <w:tcPr>
            <w:tcW w:w="7512" w:type="dxa"/>
          </w:tcPr>
          <w:p w14:paraId="0A26AEE0" w14:textId="44D82322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Incarceration Barriers: Carceral citizens face "literary barriers," administrative errors by liaison officers, and a lack of canvassing/information about candidates.</w:t>
            </w:r>
          </w:p>
          <w:p w14:paraId="3F59D517" w14:textId="32C8B87A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 xml:space="preserve"> Ballot Rejection: A significantly higher rate of ballots </w:t>
            </w:r>
            <w:proofErr w:type="gramStart"/>
            <w:r w:rsidRPr="00F64DF3">
              <w:t>are</w:t>
            </w:r>
            <w:proofErr w:type="gramEnd"/>
            <w:r w:rsidRPr="00F64DF3">
              <w:t xml:space="preserve"> rejected for carceral citizens compared to the </w:t>
            </w:r>
            <w:proofErr w:type="gramStart"/>
            <w:r w:rsidRPr="00F64DF3">
              <w:t>general public</w:t>
            </w:r>
            <w:proofErr w:type="gramEnd"/>
            <w:r w:rsidRPr="00F64DF3">
              <w:t>.</w:t>
            </w:r>
          </w:p>
        </w:tc>
      </w:tr>
      <w:tr w:rsidR="00F64DF3" w14:paraId="082EEE07" w14:textId="77777777" w:rsidTr="00F64DF3">
        <w:tc>
          <w:tcPr>
            <w:tcW w:w="1838" w:type="dxa"/>
          </w:tcPr>
          <w:p w14:paraId="2DF70FC9" w14:textId="011C6E65" w:rsidR="00F64DF3" w:rsidRPr="00F64DF3" w:rsidRDefault="00F64DF3" w:rsidP="00F64DF3">
            <w:r w:rsidRPr="00F64DF3">
              <w:t xml:space="preserve">Electoral </w:t>
            </w:r>
            <w:r w:rsidRPr="00F64DF3">
              <w:t>Employment Specific</w:t>
            </w:r>
          </w:p>
        </w:tc>
        <w:tc>
          <w:tcPr>
            <w:tcW w:w="7512" w:type="dxa"/>
          </w:tcPr>
          <w:p w14:paraId="22E28EAE" w14:textId="31943A77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Rigid Job Requirements: Long shifts (up to 13 hours) and requirements like "standing for long periods" exclude many with brain injuries from working the polls.</w:t>
            </w:r>
          </w:p>
          <w:p w14:paraId="68886C7F" w14:textId="71672207" w:rsidR="00F64DF3" w:rsidRPr="00F64DF3" w:rsidRDefault="00F64DF3" w:rsidP="00F64DF3">
            <w:pPr>
              <w:pStyle w:val="ListParagraph"/>
              <w:numPr>
                <w:ilvl w:val="0"/>
                <w:numId w:val="1"/>
              </w:numPr>
            </w:pPr>
            <w:r w:rsidRPr="00F64DF3">
              <w:t>Inadequate Training: Training for poll workers often ignores invisible disabilities or uses stereotypical representations of disability.</w:t>
            </w:r>
          </w:p>
          <w:p w14:paraId="7A2568B5" w14:textId="77777777" w:rsidR="00F64DF3" w:rsidRPr="00F64DF3" w:rsidRDefault="00F64DF3" w:rsidP="00F64DF3"/>
        </w:tc>
      </w:tr>
    </w:tbl>
    <w:p w14:paraId="75AB8325" w14:textId="77777777" w:rsidR="00F64DF3" w:rsidRDefault="00F64DF3">
      <w:pPr>
        <w:rPr>
          <w:lang w:val="en-US"/>
        </w:rPr>
      </w:pPr>
    </w:p>
    <w:p w14:paraId="75489C47" w14:textId="748788C8" w:rsidR="00F64DF3" w:rsidRPr="00CC2C00" w:rsidRDefault="00F64DF3">
      <w:pPr>
        <w:rPr>
          <w:lang w:val="en-US"/>
        </w:rPr>
      </w:pPr>
      <w:r>
        <w:rPr>
          <w:lang w:val="en-US"/>
        </w:rPr>
        <w:t>For more information and details, check out our complete report</w:t>
      </w:r>
      <w:r>
        <w:rPr>
          <w:lang w:val="en-US"/>
        </w:rPr>
        <w:t>.</w:t>
      </w:r>
    </w:p>
    <w:sectPr w:rsidR="00F64DF3" w:rsidRPr="00CC2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282B"/>
    <w:multiLevelType w:val="hybridMultilevel"/>
    <w:tmpl w:val="53486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B4C51"/>
    <w:multiLevelType w:val="hybridMultilevel"/>
    <w:tmpl w:val="0C34AAA8"/>
    <w:lvl w:ilvl="0" w:tplc="0AE09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2497">
    <w:abstractNumId w:val="0"/>
  </w:num>
  <w:num w:numId="2" w16cid:durableId="55863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00"/>
    <w:rsid w:val="004E74ED"/>
    <w:rsid w:val="00775A86"/>
    <w:rsid w:val="00CC2C00"/>
    <w:rsid w:val="00F64DF3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D1B6"/>
  <w15:chartTrackingRefBased/>
  <w15:docId w15:val="{0E9A3F91-00B5-4C1C-AF9B-5CACF9A7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C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64DF3"/>
    <w:rPr>
      <w:b/>
      <w:bCs/>
    </w:rPr>
  </w:style>
  <w:style w:type="character" w:customStyle="1" w:styleId="citation-163">
    <w:name w:val="citation-163"/>
    <w:basedOn w:val="DefaultParagraphFont"/>
    <w:rsid w:val="00F64DF3"/>
  </w:style>
  <w:style w:type="character" w:customStyle="1" w:styleId="citation-162">
    <w:name w:val="citation-162"/>
    <w:basedOn w:val="DefaultParagraphFont"/>
    <w:rsid w:val="00F6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2F040F9EE8449EF54E75F406891B" ma:contentTypeVersion="12" ma:contentTypeDescription="Create a new document." ma:contentTypeScope="" ma:versionID="f27ac9bd8281ab0f9ed5f6d07c1f6c4c">
  <xsd:schema xmlns:xsd="http://www.w3.org/2001/XMLSchema" xmlns:xs="http://www.w3.org/2001/XMLSchema" xmlns:p="http://schemas.microsoft.com/office/2006/metadata/properties" xmlns:ns2="2d42c4ed-7e5f-46dd-a8be-7b779ccf3701" xmlns:ns3="40242588-25e0-4df3-9770-7c87a826cfd4" targetNamespace="http://schemas.microsoft.com/office/2006/metadata/properties" ma:root="true" ma:fieldsID="59a0c94175a85e14f6809fe43159bd75" ns2:_="" ns3:_="">
    <xsd:import namespace="2d42c4ed-7e5f-46dd-a8be-7b779ccf3701"/>
    <xsd:import namespace="40242588-25e0-4df3-9770-7c87a826c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2c4ed-7e5f-46dd-a8be-7b779ccf3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92e0ba-14e3-432e-925e-85809a42e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2588-25e0-4df3-9770-7c87a826cf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25c376-8a1d-4e32-a2ae-e1d0314a82ae}" ma:internalName="TaxCatchAll" ma:showField="CatchAllData" ma:web="40242588-25e0-4df3-9770-7c87a826c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42588-25e0-4df3-9770-7c87a826cfd4" xsi:nil="true"/>
    <lcf76f155ced4ddcb4097134ff3c332f xmlns="2d42c4ed-7e5f-46dd-a8be-7b779ccf3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3B583-2B7D-4045-A5E6-C23961D49046}"/>
</file>

<file path=customXml/itemProps2.xml><?xml version="1.0" encoding="utf-8"?>
<ds:datastoreItem xmlns:ds="http://schemas.openxmlformats.org/officeDocument/2006/customXml" ds:itemID="{26F13BF9-C280-413A-96A9-A8E170600E6D}"/>
</file>

<file path=customXml/itemProps3.xml><?xml version="1.0" encoding="utf-8"?>
<ds:datastoreItem xmlns:ds="http://schemas.openxmlformats.org/officeDocument/2006/customXml" ds:itemID="{4CFA854F-E540-404E-BA5E-821C68A98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2530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Laamanen</dc:creator>
  <cp:keywords/>
  <dc:description/>
  <cp:lastModifiedBy>Markku Laamanen</cp:lastModifiedBy>
  <cp:revision>1</cp:revision>
  <dcterms:created xsi:type="dcterms:W3CDTF">2026-03-06T16:45:00Z</dcterms:created>
  <dcterms:modified xsi:type="dcterms:W3CDTF">2026-03-06T17:04:00Z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0x01010012EB2F040F9EE8449EF54E75F406891B</vt:lpwstr>
  </property>
</Properties>
</file>