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BC9DDF" w14:textId="4459C3BD" w:rsidR="00C665AC" w:rsidRPr="003579CF" w:rsidRDefault="00C665AC" w:rsidP="00C665AC">
      <w:pPr>
        <w:pStyle w:val="Title"/>
        <w:rPr>
          <w:rFonts w:ascii="Verdana" w:hAnsi="Verdana"/>
          <w:lang w:val="fr-CA"/>
        </w:rPr>
      </w:pPr>
      <w:r w:rsidRPr="003579CF">
        <w:rPr>
          <w:rFonts w:ascii="Verdana" w:hAnsi="Verdana"/>
          <w:lang w:val="fr-CA"/>
        </w:rPr>
        <w:t>Les lésions cérébrales et le vote: une perspective internationale</w:t>
      </w:r>
    </w:p>
    <w:p w14:paraId="3C822214" w14:textId="77777777" w:rsidR="00C665AC" w:rsidRPr="003579CF" w:rsidRDefault="00C665AC" w:rsidP="00C665AC">
      <w:pPr>
        <w:rPr>
          <w:rFonts w:ascii="Verdana" w:hAnsi="Verdana"/>
          <w:lang w:val="fr-CA"/>
        </w:rPr>
      </w:pPr>
      <w:r w:rsidRPr="003579CF">
        <w:rPr>
          <w:rFonts w:ascii="Verdana" w:hAnsi="Verdana"/>
          <w:lang w:val="fr-CA"/>
        </w:rPr>
        <w:t>Ce rapport, rédigé par Lésion cérébrale Canada, examine l'accessibilité des processus électoraux pour les personnes atteintes d'une lésion cérébrale. Bien que le droit de vote soit un droit humain fondamental et un moyen d'autonomisation politique, les personnes atteintes d'une lésion cérébrale et les personnes handicapées continuent de se heurter à d'importants obstacles systémiques et environnementaux.</w:t>
      </w:r>
    </w:p>
    <w:p w14:paraId="29A7D267" w14:textId="39F6CB05" w:rsidR="00775A86" w:rsidRPr="003579CF" w:rsidRDefault="00C665AC">
      <w:pPr>
        <w:rPr>
          <w:rFonts w:ascii="Verdana" w:hAnsi="Verdana"/>
          <w:lang w:val="fr-CA"/>
        </w:rPr>
      </w:pPr>
      <w:r w:rsidRPr="003579CF">
        <w:rPr>
          <w:rFonts w:ascii="Verdana" w:hAnsi="Verdana"/>
          <w:lang w:val="fr-CA"/>
        </w:rPr>
        <w:t>Cette étude a combiné une analyse documentaire systématique et une analyse du contexte international afin d'identifier les obstacles, la législation en vigueur et les meilleures pratiques, dans le but d'éclairer l'élaboration des futures politiques canadiennes.</w:t>
      </w:r>
    </w:p>
    <w:p w14:paraId="3E7DAD40" w14:textId="77777777" w:rsidR="00C665AC" w:rsidRPr="003579CF" w:rsidRDefault="00C665AC">
      <w:pPr>
        <w:rPr>
          <w:rFonts w:ascii="Verdana" w:hAnsi="Verdana"/>
          <w:lang w:val="fr-CA"/>
        </w:rPr>
      </w:pPr>
      <w:r w:rsidRPr="003579CF">
        <w:rPr>
          <w:rFonts w:ascii="Verdana" w:hAnsi="Verdana"/>
          <w:lang w:val="fr-CA"/>
        </w:rPr>
        <w:t xml:space="preserve">Les lésions cérébrales constituent un problème de santé mondial, avec 27 à 69 millions de cas diagnostiqués chaque année (Dewan et al., 2018 ; James et al., 2019). Au Canada, environ 165 000 personnes subissent une lésion cérébrale chaque année. On estime qu’au moins 1,5 million de Canadiens vivent avec une lésion cérébrale (Statistique Canada, 2018 &amp; Rao et al., 2017). Ces lésions peuvent entraîner des difficultés au niveau des fonctions cognitives, de la communication </w:t>
      </w:r>
    </w:p>
    <w:p w14:paraId="44AE1766" w14:textId="6AF4701B" w:rsidR="00C665AC" w:rsidRPr="003579CF" w:rsidRDefault="00C665AC">
      <w:pPr>
        <w:rPr>
          <w:rFonts w:ascii="Verdana" w:hAnsi="Verdana"/>
          <w:lang w:val="fr-CA"/>
        </w:rPr>
      </w:pPr>
      <w:r w:rsidRPr="003579CF">
        <w:rPr>
          <w:rFonts w:ascii="Verdana" w:hAnsi="Verdana"/>
          <w:lang w:val="fr-CA"/>
        </w:rPr>
        <w:t>et de la mobilité physique, qui sont des aspects essentiels pour naviguer dans les systèmes électoraux actuels.</w:t>
      </w:r>
    </w:p>
    <w:p w14:paraId="4EF63E62" w14:textId="77777777" w:rsidR="00C665AC" w:rsidRPr="003579CF" w:rsidRDefault="00C665AC" w:rsidP="00C665AC">
      <w:pPr>
        <w:pStyle w:val="Heading1"/>
        <w:rPr>
          <w:rFonts w:ascii="Verdana" w:hAnsi="Verdana"/>
          <w:color w:val="auto"/>
          <w:lang w:val="fr-CA"/>
        </w:rPr>
      </w:pPr>
      <w:r w:rsidRPr="003579CF">
        <w:rPr>
          <w:rFonts w:ascii="Verdana" w:hAnsi="Verdana"/>
          <w:color w:val="auto"/>
          <w:lang w:val="fr-CA"/>
        </w:rPr>
        <w:t>Obstacles identifiés à la participation politique</w:t>
      </w:r>
    </w:p>
    <w:p w14:paraId="2C9FDE74" w14:textId="77777777" w:rsidR="00C665AC" w:rsidRPr="003579CF" w:rsidRDefault="00C665AC" w:rsidP="00C665AC">
      <w:pPr>
        <w:rPr>
          <w:rFonts w:ascii="Verdana" w:hAnsi="Verdana"/>
          <w:lang w:val="fr-CA"/>
        </w:rPr>
      </w:pPr>
      <w:r w:rsidRPr="003579CF">
        <w:rPr>
          <w:rFonts w:ascii="Verdana" w:hAnsi="Verdana"/>
          <w:lang w:val="fr-CA"/>
        </w:rPr>
        <w:t>Cette étude a mis en évidence un large éventail d'obstacles généraux qui empêchent les personnes atteintes de lésions cérébrales et les personnes en situation de handicap d'exercer leur droit de vote :</w:t>
      </w:r>
    </w:p>
    <w:tbl>
      <w:tblPr>
        <w:tblpPr w:leftFromText="180" w:rightFromText="180" w:vertAnchor="text" w:horzAnchor="margin" w:tblpY="238"/>
        <w:tblOverlap w:val="never"/>
        <w:tblW w:w="9498" w:type="dxa"/>
        <w:tblLayout w:type="fixed"/>
        <w:tblCellMar>
          <w:top w:w="15" w:type="dxa"/>
          <w:left w:w="15" w:type="dxa"/>
          <w:bottom w:w="15" w:type="dxa"/>
          <w:right w:w="15" w:type="dxa"/>
        </w:tblCellMar>
        <w:tblLook w:val="04A0" w:firstRow="1" w:lastRow="0" w:firstColumn="1" w:lastColumn="0" w:noHBand="0" w:noVBand="1"/>
        <w:tblCaption w:val="Obstacles identifiés à la participation politique"/>
        <w:tblDescription w:val="Tableau récapitulatif des obstacles au vote rencontrés par les personnes atteintes de lésions cérébrales et de handicaps, classés par catégorie. Ces obstacles comprennent les problèmes d'accès physique, les difficultés cognitives, le manque d'informations accessibles, la stigmatisation sociale, les préoccupations personnelles telles que l'anxiété, ainsi que les restrictions politiques ou juridiques.&#10;"/>
      </w:tblPr>
      <w:tblGrid>
        <w:gridCol w:w="2572"/>
        <w:gridCol w:w="6926"/>
      </w:tblGrid>
      <w:tr w:rsidR="00C665AC" w:rsidRPr="003579CF" w14:paraId="6535CC84"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EEDB16" w14:textId="77777777" w:rsidR="00C665AC" w:rsidRPr="003579CF" w:rsidRDefault="00C665AC" w:rsidP="00C665AC">
            <w:pPr>
              <w:rPr>
                <w:rFonts w:ascii="Verdana" w:hAnsi="Verdana"/>
                <w:b/>
                <w:bCs/>
                <w:lang w:val="fr-CA"/>
              </w:rPr>
            </w:pPr>
            <w:r w:rsidRPr="003579CF">
              <w:rPr>
                <w:rFonts w:ascii="Verdana" w:hAnsi="Verdana"/>
                <w:b/>
                <w:bCs/>
                <w:lang w:val="fr-CA"/>
              </w:rPr>
              <w:t>Catégorie  d’obstacle</w:t>
            </w:r>
          </w:p>
          <w:p w14:paraId="2F57CF48"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B7D366" w14:textId="77777777" w:rsidR="00C665AC" w:rsidRPr="003579CF" w:rsidRDefault="00C665AC" w:rsidP="00C665AC">
            <w:pPr>
              <w:rPr>
                <w:rFonts w:ascii="Verdana" w:hAnsi="Verdana"/>
                <w:lang w:val="fr-CA"/>
              </w:rPr>
            </w:pPr>
            <w:r w:rsidRPr="003579CF">
              <w:rPr>
                <w:rFonts w:ascii="Verdana" w:hAnsi="Verdana"/>
                <w:b/>
                <w:bCs/>
                <w:lang w:val="fr-CA"/>
              </w:rPr>
              <w:t>Obstacle identifié</w:t>
            </w:r>
          </w:p>
        </w:tc>
      </w:tr>
      <w:tr w:rsidR="00C665AC" w:rsidRPr="003579CF" w14:paraId="7496B791"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F3C356" w14:textId="77777777" w:rsidR="00C665AC" w:rsidRPr="003579CF" w:rsidRDefault="00C665AC" w:rsidP="00C665AC">
            <w:pPr>
              <w:rPr>
                <w:rFonts w:ascii="Verdana" w:hAnsi="Verdana"/>
                <w:lang w:val="fr-CA"/>
              </w:rPr>
            </w:pPr>
            <w:r w:rsidRPr="003579CF">
              <w:rPr>
                <w:rFonts w:ascii="Verdana" w:hAnsi="Verdana"/>
                <w:lang w:val="fr-CA"/>
              </w:rPr>
              <w:t>Physique</w:t>
            </w:r>
          </w:p>
          <w:p w14:paraId="31999CD9"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D230C2B" w14:textId="77777777" w:rsidR="00C665AC" w:rsidRPr="003579CF" w:rsidRDefault="00C665AC" w:rsidP="00C665AC">
            <w:pPr>
              <w:rPr>
                <w:rFonts w:ascii="Verdana" w:hAnsi="Verdana"/>
                <w:lang w:val="fr-CA"/>
              </w:rPr>
            </w:pPr>
            <w:r w:rsidRPr="003579CF">
              <w:rPr>
                <w:rFonts w:ascii="Verdana" w:hAnsi="Verdana"/>
                <w:lang w:val="fr-CA"/>
              </w:rPr>
              <w:t>Absence de rampes d'accès, stationnements inaccessibles, mauvais éclairage et moyens de transport limités vers les bureaux de vote.</w:t>
            </w:r>
          </w:p>
        </w:tc>
      </w:tr>
      <w:tr w:rsidR="00C665AC" w:rsidRPr="003579CF" w14:paraId="167994E4"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0D2FE2" w14:textId="77777777" w:rsidR="00C665AC" w:rsidRPr="003579CF" w:rsidRDefault="00C665AC" w:rsidP="00C665AC">
            <w:pPr>
              <w:rPr>
                <w:rFonts w:ascii="Verdana" w:hAnsi="Verdana"/>
                <w:lang w:val="fr-CA"/>
              </w:rPr>
            </w:pPr>
            <w:r w:rsidRPr="003579CF">
              <w:rPr>
                <w:rFonts w:ascii="Verdana" w:hAnsi="Verdana"/>
                <w:lang w:val="fr-CA"/>
              </w:rPr>
              <w:t>Cognitif</w:t>
            </w:r>
          </w:p>
          <w:p w14:paraId="75F2D4D4"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DBC026" w14:textId="77777777" w:rsidR="00C665AC" w:rsidRPr="003579CF" w:rsidRDefault="00C665AC" w:rsidP="00C665AC">
            <w:pPr>
              <w:rPr>
                <w:rFonts w:ascii="Verdana" w:hAnsi="Verdana"/>
                <w:lang w:val="fr-CA"/>
              </w:rPr>
            </w:pPr>
            <w:r w:rsidRPr="003579CF">
              <w:rPr>
                <w:rFonts w:ascii="Verdana" w:hAnsi="Verdana"/>
                <w:lang w:val="fr-CA"/>
              </w:rPr>
              <w:t>Instructions de vote complexes, difficulté à mémoriser les informations et bulletins de vote difficiles à lire.</w:t>
            </w:r>
          </w:p>
          <w:p w14:paraId="2C676AD1" w14:textId="77777777" w:rsidR="00C665AC" w:rsidRPr="003579CF" w:rsidRDefault="00C665AC" w:rsidP="00C665AC">
            <w:pPr>
              <w:rPr>
                <w:rFonts w:ascii="Verdana" w:hAnsi="Verdana"/>
                <w:lang w:val="fr-CA"/>
              </w:rPr>
            </w:pPr>
          </w:p>
        </w:tc>
      </w:tr>
      <w:tr w:rsidR="00C665AC" w:rsidRPr="003579CF" w14:paraId="0236FE99"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51B4CF" w14:textId="77777777" w:rsidR="00C665AC" w:rsidRPr="003579CF" w:rsidRDefault="00C665AC" w:rsidP="00C665AC">
            <w:pPr>
              <w:rPr>
                <w:rFonts w:ascii="Verdana" w:hAnsi="Verdana"/>
                <w:lang w:val="fr-CA"/>
              </w:rPr>
            </w:pPr>
            <w:r w:rsidRPr="003579CF">
              <w:rPr>
                <w:rFonts w:ascii="Verdana" w:hAnsi="Verdana"/>
                <w:lang w:val="fr-CA"/>
              </w:rPr>
              <w:lastRenderedPageBreak/>
              <w:t>Informationnel</w:t>
            </w:r>
          </w:p>
          <w:p w14:paraId="46925C10"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E2BD1B" w14:textId="77777777" w:rsidR="00C665AC" w:rsidRPr="003579CF" w:rsidRDefault="00C665AC" w:rsidP="00C665AC">
            <w:pPr>
              <w:rPr>
                <w:rFonts w:ascii="Verdana" w:hAnsi="Verdana"/>
                <w:lang w:val="fr-CA"/>
              </w:rPr>
            </w:pPr>
            <w:r w:rsidRPr="003579CF">
              <w:rPr>
                <w:rFonts w:ascii="Verdana" w:hAnsi="Verdana"/>
                <w:lang w:val="fr-CA"/>
              </w:rPr>
              <w:t>Absence de listes centralisées des aménagements disponibles et manque de supports d'éducation civique (Spagnuolo &amp; Shanouda, 2017).</w:t>
            </w:r>
          </w:p>
          <w:p w14:paraId="507DB935" w14:textId="77777777" w:rsidR="00C665AC" w:rsidRPr="003579CF" w:rsidRDefault="00C665AC" w:rsidP="00C665AC">
            <w:pPr>
              <w:rPr>
                <w:rFonts w:ascii="Verdana" w:hAnsi="Verdana"/>
                <w:lang w:val="fr-CA"/>
              </w:rPr>
            </w:pPr>
          </w:p>
        </w:tc>
      </w:tr>
      <w:tr w:rsidR="00C665AC" w:rsidRPr="003579CF" w14:paraId="0D1C6D88"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D1ECFB" w14:textId="77777777" w:rsidR="00C665AC" w:rsidRPr="003579CF" w:rsidRDefault="00C665AC" w:rsidP="00C665AC">
            <w:pPr>
              <w:rPr>
                <w:rFonts w:ascii="Verdana" w:hAnsi="Verdana"/>
                <w:lang w:val="fr-CA"/>
              </w:rPr>
            </w:pPr>
            <w:r w:rsidRPr="003579CF">
              <w:rPr>
                <w:rFonts w:ascii="Verdana" w:hAnsi="Verdana"/>
                <w:lang w:val="fr-CA"/>
              </w:rPr>
              <w:t>Social/Comportemental</w:t>
            </w:r>
          </w:p>
          <w:p w14:paraId="1A7D11E9"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24CF04" w14:textId="77777777" w:rsidR="00C665AC" w:rsidRPr="003579CF" w:rsidRDefault="00C665AC" w:rsidP="00C665AC">
            <w:pPr>
              <w:rPr>
                <w:rFonts w:ascii="Verdana" w:hAnsi="Verdana"/>
                <w:lang w:val="fr-CA"/>
              </w:rPr>
            </w:pPr>
            <w:r w:rsidRPr="003579CF">
              <w:rPr>
                <w:rFonts w:ascii="Verdana" w:hAnsi="Verdana"/>
                <w:lang w:val="fr-CA"/>
              </w:rPr>
              <w:t>Stigmatisation liée à la « compétence électorale » et personnel électoral non formé pour apporter de l’aide.</w:t>
            </w:r>
          </w:p>
          <w:p w14:paraId="5E26AF35" w14:textId="77777777" w:rsidR="00C665AC" w:rsidRPr="003579CF" w:rsidRDefault="00C665AC" w:rsidP="00C665AC">
            <w:pPr>
              <w:rPr>
                <w:rFonts w:ascii="Verdana" w:hAnsi="Verdana"/>
                <w:lang w:val="fr-CA"/>
              </w:rPr>
            </w:pPr>
          </w:p>
        </w:tc>
      </w:tr>
      <w:tr w:rsidR="00C665AC" w:rsidRPr="003579CF" w14:paraId="245847B2"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A2B5C1" w14:textId="77777777" w:rsidR="00C665AC" w:rsidRPr="003579CF" w:rsidRDefault="00C665AC" w:rsidP="00C665AC">
            <w:pPr>
              <w:rPr>
                <w:rFonts w:ascii="Verdana" w:hAnsi="Verdana"/>
                <w:lang w:val="fr-CA"/>
              </w:rPr>
            </w:pPr>
            <w:r w:rsidRPr="003579CF">
              <w:rPr>
                <w:rFonts w:ascii="Verdana" w:hAnsi="Verdana"/>
                <w:lang w:val="fr-CA"/>
              </w:rPr>
              <w:t>Interne</w:t>
            </w:r>
          </w:p>
          <w:p w14:paraId="7B235B31" w14:textId="77777777" w:rsidR="00C665AC" w:rsidRPr="003579CF" w:rsidRDefault="00C665AC" w:rsidP="00C665AC">
            <w:pPr>
              <w:rPr>
                <w:rFonts w:ascii="Verdana" w:hAnsi="Verdana"/>
                <w:lang w:val="fr-CA"/>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6E5BD7" w14:textId="77777777" w:rsidR="00C665AC" w:rsidRPr="003579CF" w:rsidRDefault="00C665AC" w:rsidP="00C665AC">
            <w:pPr>
              <w:rPr>
                <w:rFonts w:ascii="Verdana" w:hAnsi="Verdana"/>
                <w:lang w:val="fr-CA"/>
              </w:rPr>
            </w:pPr>
            <w:r w:rsidRPr="003579CF">
              <w:rPr>
                <w:rFonts w:ascii="Verdana" w:hAnsi="Verdana"/>
                <w:lang w:val="fr-CA"/>
              </w:rPr>
              <w:t>Manque de confiance, isolement social et anxiété face au processus électoral (Davis, 2010).</w:t>
            </w:r>
          </w:p>
          <w:p w14:paraId="22C61675" w14:textId="77777777" w:rsidR="00C665AC" w:rsidRPr="003579CF" w:rsidRDefault="00C665AC" w:rsidP="00C665AC">
            <w:pPr>
              <w:rPr>
                <w:rFonts w:ascii="Verdana" w:hAnsi="Verdana"/>
                <w:lang w:val="fr-CA"/>
              </w:rPr>
            </w:pPr>
          </w:p>
        </w:tc>
      </w:tr>
      <w:tr w:rsidR="00C665AC" w:rsidRPr="003579CF" w14:paraId="4D899637" w14:textId="77777777" w:rsidTr="00C665AC">
        <w:tc>
          <w:tcPr>
            <w:tcW w:w="2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9C32C30" w14:textId="77777777" w:rsidR="00C665AC" w:rsidRPr="003579CF" w:rsidRDefault="00C665AC" w:rsidP="00C665AC">
            <w:pPr>
              <w:rPr>
                <w:rFonts w:ascii="Verdana" w:hAnsi="Verdana"/>
                <w:lang w:val="fr-CA"/>
              </w:rPr>
            </w:pPr>
            <w:r w:rsidRPr="003579CF">
              <w:rPr>
                <w:rFonts w:ascii="Verdana" w:hAnsi="Verdana"/>
                <w:lang w:val="fr-CA"/>
              </w:rPr>
              <w:t>Politique/Juridique</w:t>
            </w: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8313F0" w14:textId="77777777" w:rsidR="00C665AC" w:rsidRPr="003579CF" w:rsidRDefault="00C665AC" w:rsidP="00C665AC">
            <w:pPr>
              <w:rPr>
                <w:rFonts w:ascii="Verdana" w:hAnsi="Verdana"/>
                <w:lang w:val="fr-CA"/>
              </w:rPr>
            </w:pPr>
            <w:r w:rsidRPr="003579CF">
              <w:rPr>
                <w:rFonts w:ascii="Verdana" w:hAnsi="Verdana"/>
                <w:lang w:val="fr-CA"/>
              </w:rPr>
              <w:t>Normes d’accessibilité incohérentes et lois restrictives en matière de tutelle (McEldowney &amp; Teaster, 2009).</w:t>
            </w:r>
          </w:p>
          <w:p w14:paraId="62A0CA9B" w14:textId="77777777" w:rsidR="00C665AC" w:rsidRPr="003579CF" w:rsidRDefault="00C665AC" w:rsidP="00C665AC">
            <w:pPr>
              <w:rPr>
                <w:rFonts w:ascii="Verdana" w:hAnsi="Verdana"/>
                <w:lang w:val="fr-CA"/>
              </w:rPr>
            </w:pPr>
          </w:p>
        </w:tc>
      </w:tr>
    </w:tbl>
    <w:p w14:paraId="31645C20" w14:textId="77777777" w:rsidR="00C665AC" w:rsidRPr="003579CF" w:rsidRDefault="00C665AC">
      <w:pPr>
        <w:rPr>
          <w:rFonts w:ascii="Verdana" w:hAnsi="Verdana"/>
        </w:rPr>
      </w:pPr>
    </w:p>
    <w:p w14:paraId="18933F1C" w14:textId="63E8C712" w:rsidR="00C665AC" w:rsidRPr="003579CF" w:rsidRDefault="00C665AC" w:rsidP="00C665AC">
      <w:pPr>
        <w:pStyle w:val="Heading1"/>
        <w:rPr>
          <w:rFonts w:ascii="Verdana" w:hAnsi="Verdana"/>
          <w:color w:val="auto"/>
          <w:lang w:val="fr-CA"/>
        </w:rPr>
      </w:pPr>
      <w:r w:rsidRPr="003579CF">
        <w:rPr>
          <w:rFonts w:ascii="Verdana" w:hAnsi="Verdana"/>
          <w:color w:val="auto"/>
          <w:lang w:val="fr-CA"/>
        </w:rPr>
        <w:t>Bref aperçu des cadres législatifs et des normes internationales</w:t>
      </w:r>
    </w:p>
    <w:p w14:paraId="26AF2772" w14:textId="77777777" w:rsidR="00C665AC" w:rsidRPr="003579CF" w:rsidRDefault="00C665AC" w:rsidP="00C665AC">
      <w:pPr>
        <w:rPr>
          <w:rFonts w:ascii="Verdana" w:hAnsi="Verdana"/>
          <w:lang w:val="fr-CA"/>
        </w:rPr>
      </w:pPr>
      <w:r w:rsidRPr="003579CF">
        <w:rPr>
          <w:rFonts w:ascii="Verdana" w:hAnsi="Verdana"/>
          <w:lang w:val="fr-CA"/>
        </w:rPr>
        <w:t xml:space="preserve">Si de nombreux pays ont ratifié la </w:t>
      </w:r>
      <w:r w:rsidRPr="003579CF">
        <w:rPr>
          <w:rFonts w:ascii="Verdana" w:hAnsi="Verdana"/>
          <w:b/>
          <w:bCs/>
          <w:lang w:val="fr-CA"/>
        </w:rPr>
        <w:t>Convention des Nations Unies relative aux droits des personnes handicapées</w:t>
      </w:r>
      <w:r w:rsidRPr="003579CF">
        <w:rPr>
          <w:rFonts w:ascii="Verdana" w:hAnsi="Verdana"/>
          <w:lang w:val="fr-CA"/>
        </w:rPr>
        <w:t xml:space="preserve">, et plus particulièrement son </w:t>
      </w:r>
      <w:r w:rsidRPr="003579CF">
        <w:rPr>
          <w:rFonts w:ascii="Verdana" w:hAnsi="Verdana"/>
          <w:b/>
          <w:bCs/>
          <w:lang w:val="fr-CA"/>
        </w:rPr>
        <w:t>article 29</w:t>
      </w:r>
      <w:r w:rsidRPr="003579CF">
        <w:rPr>
          <w:rFonts w:ascii="Verdana" w:hAnsi="Verdana"/>
          <w:lang w:val="fr-CA"/>
        </w:rPr>
        <w:t>, qui prescrit l'égalité en matière de participation politique, son application varie considérablement (Département des affaires économiques et sociales des Nations Unies, s.d.).</w:t>
      </w:r>
    </w:p>
    <w:p w14:paraId="1F56AE4D" w14:textId="77777777" w:rsidR="00C665AC" w:rsidRPr="003579CF" w:rsidRDefault="00C665AC" w:rsidP="00C665AC">
      <w:pPr>
        <w:pStyle w:val="ListParagraph"/>
        <w:numPr>
          <w:ilvl w:val="0"/>
          <w:numId w:val="1"/>
        </w:numPr>
        <w:rPr>
          <w:rFonts w:ascii="Verdana" w:hAnsi="Verdana"/>
          <w:lang w:val="fr-CA"/>
        </w:rPr>
      </w:pPr>
      <w:r w:rsidRPr="003579CF">
        <w:rPr>
          <w:rFonts w:ascii="Verdana" w:hAnsi="Verdana"/>
          <w:b/>
          <w:bCs/>
          <w:lang w:val="fr-CA"/>
        </w:rPr>
        <w:t>États-Unis :</w:t>
      </w:r>
      <w:r w:rsidRPr="003579CF">
        <w:rPr>
          <w:rFonts w:ascii="Verdana" w:hAnsi="Verdana"/>
          <w:lang w:val="fr-CA"/>
        </w:rPr>
        <w:t xml:space="preserve"> présente les textes législatifs les plus souvent cités (la majorité des sources traitant des États-Unis), notamment la </w:t>
      </w:r>
      <w:r w:rsidRPr="003579CF">
        <w:rPr>
          <w:rFonts w:ascii="Verdana" w:hAnsi="Verdana"/>
          <w:b/>
          <w:bCs/>
          <w:lang w:val="fr-CA"/>
        </w:rPr>
        <w:t xml:space="preserve">loi </w:t>
      </w:r>
      <w:r w:rsidRPr="003579CF">
        <w:rPr>
          <w:rFonts w:ascii="Verdana" w:hAnsi="Verdana"/>
          <w:b/>
          <w:bCs/>
          <w:i/>
          <w:iCs/>
          <w:lang w:val="fr-CA"/>
        </w:rPr>
        <w:t>Help America Vote Act</w:t>
      </w:r>
      <w:r w:rsidRPr="003579CF">
        <w:rPr>
          <w:rFonts w:ascii="Verdana" w:hAnsi="Verdana"/>
          <w:lang w:val="fr-CA"/>
        </w:rPr>
        <w:t xml:space="preserve">, la </w:t>
      </w:r>
      <w:r w:rsidRPr="003579CF">
        <w:rPr>
          <w:rFonts w:ascii="Verdana" w:hAnsi="Verdana"/>
          <w:b/>
          <w:bCs/>
          <w:lang w:val="fr-CA"/>
        </w:rPr>
        <w:t xml:space="preserve">loi </w:t>
      </w:r>
      <w:r w:rsidRPr="003579CF">
        <w:rPr>
          <w:rFonts w:ascii="Verdana" w:hAnsi="Verdana"/>
          <w:b/>
          <w:bCs/>
          <w:i/>
          <w:iCs/>
          <w:lang w:val="fr-CA"/>
        </w:rPr>
        <w:t>Americans with Disabilities Act</w:t>
      </w:r>
      <w:r w:rsidRPr="003579CF">
        <w:rPr>
          <w:rFonts w:ascii="Verdana" w:hAnsi="Verdana"/>
          <w:lang w:val="fr-CA"/>
        </w:rPr>
        <w:t xml:space="preserve"> et la </w:t>
      </w:r>
      <w:r w:rsidRPr="003579CF">
        <w:rPr>
          <w:rFonts w:ascii="Verdana" w:hAnsi="Verdana"/>
          <w:b/>
          <w:bCs/>
          <w:lang w:val="fr-CA"/>
        </w:rPr>
        <w:t>loi Voting Rights Act (Commission d'assistance électorale des États-Unis, 2023 &amp; Département américain de la Justice, 2022)</w:t>
      </w:r>
      <w:r w:rsidRPr="003579CF">
        <w:rPr>
          <w:rFonts w:ascii="Verdana" w:hAnsi="Verdana"/>
          <w:lang w:val="fr-CA"/>
        </w:rPr>
        <w:t>. Ces lois imposent la mise en place de bureaux de vote accessibles et fournissent des ressources pour la modernisation des technologies de vote.</w:t>
      </w:r>
    </w:p>
    <w:p w14:paraId="23E5E4C3" w14:textId="77777777" w:rsidR="00C665AC" w:rsidRPr="003579CF" w:rsidRDefault="00C665AC" w:rsidP="00C665AC">
      <w:pPr>
        <w:pStyle w:val="ListParagraph"/>
        <w:numPr>
          <w:ilvl w:val="0"/>
          <w:numId w:val="1"/>
        </w:numPr>
        <w:rPr>
          <w:rFonts w:ascii="Verdana" w:hAnsi="Verdana"/>
          <w:lang w:val="fr-CA"/>
        </w:rPr>
      </w:pPr>
      <w:r w:rsidRPr="003579CF">
        <w:rPr>
          <w:rFonts w:ascii="Verdana" w:hAnsi="Verdana"/>
          <w:b/>
          <w:bCs/>
          <w:lang w:val="fr-CA"/>
        </w:rPr>
        <w:t>Europe :</w:t>
      </w:r>
      <w:r w:rsidRPr="003579CF">
        <w:rPr>
          <w:rFonts w:ascii="Verdana" w:hAnsi="Verdana"/>
          <w:lang w:val="fr-CA"/>
        </w:rPr>
        <w:t xml:space="preserve"> l'</w:t>
      </w:r>
      <w:r w:rsidRPr="003579CF">
        <w:rPr>
          <w:rFonts w:ascii="Verdana" w:hAnsi="Verdana"/>
          <w:b/>
          <w:bCs/>
          <w:lang w:val="fr-CA"/>
        </w:rPr>
        <w:t>Union européenne</w:t>
      </w:r>
      <w:r w:rsidRPr="003579CF">
        <w:rPr>
          <w:rFonts w:ascii="Verdana" w:hAnsi="Verdana"/>
          <w:lang w:val="fr-CA"/>
        </w:rPr>
        <w:t xml:space="preserve"> applique une directive sur l'accessibilité du web qui impose aux sites web du secteur public de respecter des normes d'accessibilité spécifiques (WCAG 2.1) (Equal Web, s.d.).</w:t>
      </w:r>
    </w:p>
    <w:p w14:paraId="43BFCC9F" w14:textId="77777777" w:rsidR="00C665AC" w:rsidRPr="003579CF" w:rsidRDefault="00C665AC" w:rsidP="00C665AC">
      <w:pPr>
        <w:pStyle w:val="ListParagraph"/>
        <w:numPr>
          <w:ilvl w:val="0"/>
          <w:numId w:val="1"/>
        </w:numPr>
        <w:rPr>
          <w:rFonts w:ascii="Verdana" w:hAnsi="Verdana"/>
          <w:lang w:val="fr-CA"/>
        </w:rPr>
      </w:pPr>
      <w:r w:rsidRPr="003579CF">
        <w:rPr>
          <w:rFonts w:ascii="Verdana" w:hAnsi="Verdana"/>
          <w:b/>
          <w:bCs/>
          <w:lang w:val="fr-CA"/>
        </w:rPr>
        <w:t>Vote obligatoire :</w:t>
      </w:r>
      <w:r w:rsidRPr="003579CF">
        <w:rPr>
          <w:rFonts w:ascii="Verdana" w:hAnsi="Verdana"/>
          <w:lang w:val="fr-CA"/>
        </w:rPr>
        <w:t xml:space="preserve"> des pays comme l'</w:t>
      </w:r>
      <w:r w:rsidRPr="003579CF">
        <w:rPr>
          <w:rFonts w:ascii="Verdana" w:hAnsi="Verdana"/>
          <w:b/>
          <w:bCs/>
          <w:lang w:val="fr-CA"/>
        </w:rPr>
        <w:t>Australie, la Grèce et le Mexique</w:t>
      </w:r>
      <w:r w:rsidRPr="003579CF">
        <w:rPr>
          <w:rFonts w:ascii="Verdana" w:hAnsi="Verdana"/>
          <w:lang w:val="fr-CA"/>
        </w:rPr>
        <w:t xml:space="preserve"> ont instauré le vote obligatoire, même si des dérogations sont souvent accordées aux personnes handicapées.</w:t>
      </w:r>
    </w:p>
    <w:p w14:paraId="5D2AE3C2" w14:textId="77777777" w:rsidR="00C665AC" w:rsidRPr="003579CF" w:rsidRDefault="00C665AC" w:rsidP="00C665AC">
      <w:pPr>
        <w:pStyle w:val="Heading1"/>
        <w:rPr>
          <w:rFonts w:ascii="Verdana" w:hAnsi="Verdana"/>
          <w:color w:val="auto"/>
          <w:lang w:val="fr-CA"/>
        </w:rPr>
      </w:pPr>
      <w:r w:rsidRPr="003579CF">
        <w:rPr>
          <w:rFonts w:ascii="Verdana" w:hAnsi="Verdana"/>
          <w:color w:val="auto"/>
          <w:lang w:val="fr-CA"/>
        </w:rPr>
        <w:lastRenderedPageBreak/>
        <w:t>Quelques bonnes pratiques et solutions proposées</w:t>
      </w:r>
    </w:p>
    <w:p w14:paraId="0CF824F9" w14:textId="4EEF92F7" w:rsidR="00C665AC" w:rsidRPr="003579CF" w:rsidRDefault="00C665AC" w:rsidP="00C665AC">
      <w:pPr>
        <w:rPr>
          <w:rFonts w:ascii="Verdana" w:hAnsi="Verdana"/>
          <w:lang w:val="fr-CA"/>
        </w:rPr>
      </w:pPr>
      <w:r w:rsidRPr="003579CF">
        <w:rPr>
          <w:rFonts w:ascii="Verdana" w:hAnsi="Verdana"/>
          <w:lang w:val="fr-CA"/>
        </w:rPr>
        <w:t>L'analyse du contexte a mis en évidence plusieurs « bonnes pratiques » que le Canada pourrait adopter pour améliorer l'inclusion :</w:t>
      </w:r>
    </w:p>
    <w:p w14:paraId="38220613" w14:textId="77777777" w:rsidR="00C665AC" w:rsidRPr="003579CF" w:rsidRDefault="00C665AC" w:rsidP="00C665AC">
      <w:pPr>
        <w:pStyle w:val="ListParagraph"/>
        <w:numPr>
          <w:ilvl w:val="0"/>
          <w:numId w:val="2"/>
        </w:numPr>
        <w:rPr>
          <w:rFonts w:ascii="Verdana" w:hAnsi="Verdana"/>
          <w:lang w:val="fr-CA"/>
        </w:rPr>
      </w:pPr>
      <w:r w:rsidRPr="003579CF">
        <w:rPr>
          <w:rFonts w:ascii="Verdana" w:hAnsi="Verdana"/>
          <w:b/>
          <w:bCs/>
          <w:lang w:val="fr-CA"/>
        </w:rPr>
        <w:t>Autriche :</w:t>
      </w:r>
      <w:r w:rsidRPr="003579CF">
        <w:rPr>
          <w:rFonts w:ascii="Verdana" w:hAnsi="Verdana"/>
          <w:lang w:val="fr-CA"/>
        </w:rPr>
        <w:t xml:space="preserve"> fournit des informations électorales en langue des signes et sous forme de « lecture simplifiée ».</w:t>
      </w:r>
    </w:p>
    <w:p w14:paraId="0C4FC805" w14:textId="77777777" w:rsidR="00C665AC" w:rsidRPr="003579CF" w:rsidRDefault="00C665AC" w:rsidP="00C665AC">
      <w:pPr>
        <w:pStyle w:val="ListParagraph"/>
        <w:numPr>
          <w:ilvl w:val="0"/>
          <w:numId w:val="2"/>
        </w:numPr>
        <w:rPr>
          <w:rFonts w:ascii="Verdana" w:hAnsi="Verdana"/>
          <w:lang w:val="fr-CA"/>
        </w:rPr>
      </w:pPr>
      <w:r w:rsidRPr="003579CF">
        <w:rPr>
          <w:rFonts w:ascii="Verdana" w:hAnsi="Verdana"/>
          <w:b/>
          <w:bCs/>
          <w:lang w:val="fr-CA"/>
        </w:rPr>
        <w:t>Australie :</w:t>
      </w:r>
      <w:r w:rsidRPr="003579CF">
        <w:rPr>
          <w:rFonts w:ascii="Verdana" w:hAnsi="Verdana"/>
          <w:lang w:val="fr-CA"/>
        </w:rPr>
        <w:t xml:space="preserve"> utilise des </w:t>
      </w:r>
      <w:r w:rsidRPr="003579CF">
        <w:rPr>
          <w:rFonts w:ascii="Verdana" w:hAnsi="Verdana"/>
          <w:b/>
          <w:bCs/>
          <w:lang w:val="fr-CA"/>
        </w:rPr>
        <w:t>stylos de synthèse vocale</w:t>
      </w:r>
      <w:r w:rsidRPr="003579CF">
        <w:rPr>
          <w:rFonts w:ascii="Verdana" w:hAnsi="Verdana"/>
          <w:lang w:val="fr-CA"/>
        </w:rPr>
        <w:t xml:space="preserve"> qui lisent le texte du bulletin de vote à mesure que l'électeur le scanne.</w:t>
      </w:r>
    </w:p>
    <w:p w14:paraId="6BB9155F" w14:textId="77777777" w:rsidR="00C665AC" w:rsidRPr="003579CF" w:rsidRDefault="00C665AC" w:rsidP="00C665AC">
      <w:pPr>
        <w:pStyle w:val="ListParagraph"/>
        <w:numPr>
          <w:ilvl w:val="0"/>
          <w:numId w:val="2"/>
        </w:numPr>
        <w:rPr>
          <w:rFonts w:ascii="Verdana" w:hAnsi="Verdana"/>
          <w:lang w:val="fr-CA"/>
        </w:rPr>
      </w:pPr>
      <w:r w:rsidRPr="003579CF">
        <w:rPr>
          <w:rFonts w:ascii="Verdana" w:hAnsi="Verdana"/>
          <w:b/>
          <w:bCs/>
          <w:lang w:val="fr-CA"/>
        </w:rPr>
        <w:t>Nouvelle-Zélande :</w:t>
      </w:r>
      <w:r w:rsidRPr="003579CF">
        <w:rPr>
          <w:rFonts w:ascii="Verdana" w:hAnsi="Verdana"/>
          <w:lang w:val="fr-CA"/>
        </w:rPr>
        <w:t xml:space="preserve"> propose le </w:t>
      </w:r>
      <w:r w:rsidRPr="003579CF">
        <w:rPr>
          <w:rFonts w:ascii="Verdana" w:hAnsi="Verdana"/>
          <w:b/>
          <w:bCs/>
          <w:lang w:val="fr-CA"/>
        </w:rPr>
        <w:t>vote par dictée téléphonique</w:t>
      </w:r>
      <w:r w:rsidRPr="003579CF">
        <w:rPr>
          <w:rFonts w:ascii="Verdana" w:hAnsi="Verdana"/>
          <w:lang w:val="fr-CA"/>
        </w:rPr>
        <w:t>.</w:t>
      </w:r>
    </w:p>
    <w:p w14:paraId="3675C823" w14:textId="77777777" w:rsidR="00C665AC" w:rsidRPr="003579CF" w:rsidRDefault="00C665AC" w:rsidP="00C665AC">
      <w:pPr>
        <w:pStyle w:val="ListParagraph"/>
        <w:numPr>
          <w:ilvl w:val="0"/>
          <w:numId w:val="2"/>
        </w:numPr>
        <w:rPr>
          <w:rFonts w:ascii="Verdana" w:hAnsi="Verdana"/>
          <w:lang w:val="fr-CA"/>
        </w:rPr>
      </w:pPr>
      <w:r w:rsidRPr="003579CF">
        <w:rPr>
          <w:rFonts w:ascii="Verdana" w:hAnsi="Verdana"/>
          <w:b/>
          <w:bCs/>
          <w:lang w:val="fr-CA"/>
        </w:rPr>
        <w:t>Estonie :</w:t>
      </w:r>
      <w:r w:rsidRPr="003579CF">
        <w:rPr>
          <w:rFonts w:ascii="Verdana" w:hAnsi="Verdana"/>
          <w:lang w:val="fr-CA"/>
        </w:rPr>
        <w:t xml:space="preserve"> permet à tous les citoyens de voter par voie électronique.</w:t>
      </w:r>
    </w:p>
    <w:p w14:paraId="6B2D3147" w14:textId="72FD5156" w:rsidR="00C665AC" w:rsidRPr="003579CF" w:rsidRDefault="00C665AC" w:rsidP="00C665AC">
      <w:pPr>
        <w:pStyle w:val="Heading1"/>
        <w:rPr>
          <w:rFonts w:ascii="Verdana" w:hAnsi="Verdana"/>
          <w:color w:val="auto"/>
          <w:lang w:val="fr-CA"/>
        </w:rPr>
      </w:pPr>
      <w:r w:rsidRPr="003579CF">
        <w:rPr>
          <w:rFonts w:ascii="Verdana" w:hAnsi="Verdana"/>
          <w:color w:val="auto"/>
          <w:lang w:val="fr-CA"/>
        </w:rPr>
        <w:t>Lacunes majeures et perspectives d'avenir</w:t>
      </w:r>
    </w:p>
    <w:p w14:paraId="1C21DE17" w14:textId="77777777" w:rsidR="00C665AC" w:rsidRPr="003579CF" w:rsidRDefault="00C665AC" w:rsidP="00C665AC">
      <w:pPr>
        <w:rPr>
          <w:rFonts w:ascii="Verdana" w:hAnsi="Verdana"/>
          <w:lang w:val="fr-CA"/>
        </w:rPr>
      </w:pPr>
      <w:r w:rsidRPr="003579CF">
        <w:rPr>
          <w:rFonts w:ascii="Verdana" w:hAnsi="Verdana"/>
          <w:lang w:val="fr-CA"/>
        </w:rPr>
        <w:t xml:space="preserve">L'une des principales conclusions de ce rapport est le </w:t>
      </w:r>
      <w:r w:rsidRPr="003579CF">
        <w:rPr>
          <w:rFonts w:ascii="Verdana" w:hAnsi="Verdana"/>
          <w:b/>
          <w:bCs/>
          <w:lang w:val="fr-CA"/>
        </w:rPr>
        <w:t>manque criant de données</w:t>
      </w:r>
      <w:r w:rsidRPr="003579CF">
        <w:rPr>
          <w:rFonts w:ascii="Verdana" w:hAnsi="Verdana"/>
          <w:lang w:val="fr-CA"/>
        </w:rPr>
        <w:t xml:space="preserve"> portant spécifiquement sur l'expérience électorale des personnes atteintes de lésions cérébrales traumatiques. La plupart des recherches existantes se concentrent sur des handicaps physiques ou intellectuels plus généraux, ce qui laisse un vide dans la compréhension des besoins cognitifs et sensoriels spécifiques de la communauté des personnes atteintes de lésions cérébrales.</w:t>
      </w:r>
    </w:p>
    <w:p w14:paraId="35F32BB5" w14:textId="77777777" w:rsidR="00C665AC" w:rsidRPr="003579CF" w:rsidRDefault="00C665AC" w:rsidP="00C665AC">
      <w:pPr>
        <w:rPr>
          <w:rFonts w:ascii="Verdana" w:hAnsi="Verdana"/>
          <w:lang w:val="fr-CA"/>
        </w:rPr>
      </w:pPr>
      <w:r w:rsidRPr="003579CF">
        <w:rPr>
          <w:rFonts w:ascii="Verdana" w:hAnsi="Verdana"/>
          <w:lang w:val="fr-CA"/>
        </w:rPr>
        <w:t xml:space="preserve">Le rapport conclut que, bien que la législation et les technologies nécessaires pour rendre le vote accessible existent, des données concernant la </w:t>
      </w:r>
      <w:r w:rsidRPr="003579CF">
        <w:rPr>
          <w:rFonts w:ascii="Verdana" w:hAnsi="Verdana"/>
          <w:b/>
          <w:bCs/>
          <w:lang w:val="fr-CA"/>
        </w:rPr>
        <w:t>mise en œuvre et l'efficacité</w:t>
      </w:r>
      <w:r w:rsidRPr="003579CF">
        <w:rPr>
          <w:rFonts w:ascii="Verdana" w:hAnsi="Verdana"/>
          <w:lang w:val="fr-CA"/>
        </w:rPr>
        <w:t xml:space="preserve"> de ces solutions manque toujours. À l'avenir, les efforts déployés au Canada devraient se concentrer sur des mesures concrètes allant au-delà des exigences légales minimales afin de garantir une véritable inclusivité démocratique.</w:t>
      </w:r>
    </w:p>
    <w:p w14:paraId="72D0322E" w14:textId="77777777" w:rsidR="00C665AC" w:rsidRPr="003579CF" w:rsidRDefault="00C665AC" w:rsidP="00C665AC">
      <w:pPr>
        <w:rPr>
          <w:rFonts w:ascii="Verdana" w:hAnsi="Verdana"/>
          <w:lang w:val="fr-CA"/>
        </w:rPr>
      </w:pPr>
    </w:p>
    <w:sectPr w:rsidR="00C665AC" w:rsidRPr="003579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7AA07A6"/>
    <w:multiLevelType w:val="hybridMultilevel"/>
    <w:tmpl w:val="2D20A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496E0E"/>
    <w:multiLevelType w:val="hybridMultilevel"/>
    <w:tmpl w:val="D88AB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2654957">
    <w:abstractNumId w:val="1"/>
  </w:num>
  <w:num w:numId="2" w16cid:durableId="212808568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AC"/>
    <w:rsid w:val="003579CF"/>
    <w:rsid w:val="006E412E"/>
    <w:rsid w:val="00775A86"/>
    <w:rsid w:val="009E3BA0"/>
    <w:rsid w:val="00C665AC"/>
    <w:rsid w:val="00D76438"/>
    <w:rsid w:val="00D945EA"/>
    <w:rsid w:val="00DF5D4F"/>
    <w:rsid w:val="00FE4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2D83"/>
  <w15:chartTrackingRefBased/>
  <w15:docId w15:val="{6EF97D2B-C4DD-4CF8-8112-6EF35B05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AC"/>
  </w:style>
  <w:style w:type="paragraph" w:styleId="Heading1">
    <w:name w:val="heading 1"/>
    <w:basedOn w:val="Normal"/>
    <w:next w:val="Normal"/>
    <w:link w:val="Heading1Char"/>
    <w:uiPriority w:val="9"/>
    <w:qFormat/>
    <w:rsid w:val="00C66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5AC"/>
    <w:rPr>
      <w:rFonts w:eastAsiaTheme="majorEastAsia" w:cstheme="majorBidi"/>
      <w:color w:val="272727" w:themeColor="text1" w:themeTint="D8"/>
    </w:rPr>
  </w:style>
  <w:style w:type="paragraph" w:styleId="Title">
    <w:name w:val="Title"/>
    <w:basedOn w:val="Normal"/>
    <w:next w:val="Normal"/>
    <w:link w:val="TitleChar"/>
    <w:uiPriority w:val="10"/>
    <w:qFormat/>
    <w:rsid w:val="00C6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5AC"/>
    <w:pPr>
      <w:spacing w:before="160"/>
      <w:jc w:val="center"/>
    </w:pPr>
    <w:rPr>
      <w:i/>
      <w:iCs/>
      <w:color w:val="404040" w:themeColor="text1" w:themeTint="BF"/>
    </w:rPr>
  </w:style>
  <w:style w:type="character" w:customStyle="1" w:styleId="QuoteChar">
    <w:name w:val="Quote Char"/>
    <w:basedOn w:val="DefaultParagraphFont"/>
    <w:link w:val="Quote"/>
    <w:uiPriority w:val="29"/>
    <w:rsid w:val="00C665AC"/>
    <w:rPr>
      <w:i/>
      <w:iCs/>
      <w:color w:val="404040" w:themeColor="text1" w:themeTint="BF"/>
    </w:rPr>
  </w:style>
  <w:style w:type="paragraph" w:styleId="ListParagraph">
    <w:name w:val="List Paragraph"/>
    <w:basedOn w:val="Normal"/>
    <w:uiPriority w:val="34"/>
    <w:qFormat/>
    <w:rsid w:val="00C665AC"/>
    <w:pPr>
      <w:ind w:left="720"/>
      <w:contextualSpacing/>
    </w:pPr>
  </w:style>
  <w:style w:type="character" w:styleId="IntenseEmphasis">
    <w:name w:val="Intense Emphasis"/>
    <w:basedOn w:val="DefaultParagraphFont"/>
    <w:uiPriority w:val="21"/>
    <w:qFormat/>
    <w:rsid w:val="00C665AC"/>
    <w:rPr>
      <w:i/>
      <w:iCs/>
      <w:color w:val="0F4761" w:themeColor="accent1" w:themeShade="BF"/>
    </w:rPr>
  </w:style>
  <w:style w:type="paragraph" w:styleId="IntenseQuote">
    <w:name w:val="Intense Quote"/>
    <w:basedOn w:val="Normal"/>
    <w:next w:val="Normal"/>
    <w:link w:val="IntenseQuoteChar"/>
    <w:uiPriority w:val="30"/>
    <w:qFormat/>
    <w:rsid w:val="00C66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5AC"/>
    <w:rPr>
      <w:i/>
      <w:iCs/>
      <w:color w:val="0F4761" w:themeColor="accent1" w:themeShade="BF"/>
    </w:rPr>
  </w:style>
  <w:style w:type="character" w:styleId="IntenseReference">
    <w:name w:val="Intense Reference"/>
    <w:basedOn w:val="DefaultParagraphFont"/>
    <w:uiPriority w:val="32"/>
    <w:qFormat/>
    <w:rsid w:val="00C665AC"/>
    <w:rPr>
      <w:b/>
      <w:bCs/>
      <w:smallCaps/>
      <w:color w:val="0F4761" w:themeColor="accent1" w:themeShade="BF"/>
      <w:spacing w:val="5"/>
    </w:rPr>
  </w:style>
  <w:style w:type="table" w:styleId="TableGrid">
    <w:name w:val="Table Grid"/>
    <w:basedOn w:val="TableNormal"/>
    <w:uiPriority w:val="39"/>
    <w:rsid w:val="00C66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4341</Characters>
  <Application>Microsoft Office Word</Application>
  <DocSecurity>0</DocSecurity>
  <Lines>140</Lines>
  <Paragraphs>60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Laamanen</dc:creator>
  <cp:keywords/>
  <dc:description/>
  <cp:lastModifiedBy>Michelle McDonald</cp:lastModifiedBy>
  <cp:revision>2</cp:revision>
  <dcterms:created xsi:type="dcterms:W3CDTF">2026-07-20T17:30:00Z</dcterms:created>
  <dcterms:modified xsi:type="dcterms:W3CDTF">2026-07-20T17:30:00Z</dcterms:modified>
</cp:coreProperties>
</file>