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63B075" w14:textId="10755917" w:rsidR="00860090" w:rsidRPr="00860090" w:rsidRDefault="00860090">
      <w:pPr>
        <w:rPr>
          <w:rFonts w:ascii="Arial" w:hAnsi="Arial" w:cs="Arial"/>
          <w:b/>
          <w:bCs/>
          <w:sz w:val="28"/>
          <w:szCs w:val="28"/>
          <w:lang w:val="fr-CA"/>
        </w:rPr>
      </w:pPr>
      <w:r w:rsidRPr="00860090">
        <w:rPr>
          <w:rFonts w:ascii="Arial" w:hAnsi="Arial" w:cs="Arial"/>
          <w:b/>
          <w:bCs/>
          <w:sz w:val="28"/>
          <w:szCs w:val="28"/>
          <w:lang w:val="fr-CA"/>
        </w:rPr>
        <w:t>Obstacles au vote pour les personnes atteintes d'une lésion cérébrale</w:t>
      </w:r>
    </w:p>
    <w:p w14:paraId="2526ABCB" w14:textId="579958BF" w:rsidR="00860090" w:rsidRPr="00860090" w:rsidRDefault="00860090">
      <w:pPr>
        <w:rPr>
          <w:rFonts w:ascii="Arial" w:hAnsi="Arial" w:cs="Arial"/>
          <w:sz w:val="28"/>
          <w:szCs w:val="28"/>
          <w:lang w:val="fr-CA"/>
        </w:rPr>
      </w:pPr>
      <w:r w:rsidRPr="00860090">
        <w:rPr>
          <w:rFonts w:ascii="Arial" w:hAnsi="Arial" w:cs="Arial"/>
          <w:sz w:val="28"/>
          <w:szCs w:val="28"/>
          <w:lang w:val="fr-CA"/>
        </w:rPr>
        <w:t>Dans le cadre de notre projet de recherche sur l'accessibilité du processus électoral, nous avons eu recours à diverses méthodes de recherche afin de recueillir des informations sur les obstacles rencontrés par les personnes atteintes d'une lésion cérébrale dans le cadre du processus électoral. Ces méthodes comprenaient des analyses documentaires, des analyses de l'environnement, des sondages, des groupes de discussion et des entretiens.</w:t>
      </w:r>
    </w:p>
    <w:p w14:paraId="3282DADC" w14:textId="6112F0A7" w:rsidR="00860090" w:rsidRPr="00860090" w:rsidRDefault="00860090">
      <w:pPr>
        <w:rPr>
          <w:rFonts w:ascii="Arial" w:hAnsi="Arial" w:cs="Arial"/>
          <w:b/>
          <w:bCs/>
          <w:sz w:val="28"/>
          <w:szCs w:val="28"/>
        </w:rPr>
      </w:pPr>
      <w:r w:rsidRPr="00860090">
        <w:rPr>
          <w:rFonts w:ascii="Arial" w:hAnsi="Arial" w:cs="Arial"/>
          <w:sz w:val="28"/>
          <w:szCs w:val="28"/>
          <w:lang w:val="fr-CA"/>
        </w:rPr>
        <w:t>Résumé des obstacles au vote.</w:t>
      </w:r>
    </w:p>
    <w:tbl>
      <w:tblPr>
        <w:tblStyle w:val="TableGrid"/>
        <w:tblW w:w="10201" w:type="dxa"/>
        <w:tblLook w:val="04A0" w:firstRow="1" w:lastRow="0" w:firstColumn="1" w:lastColumn="0" w:noHBand="0" w:noVBand="1"/>
      </w:tblPr>
      <w:tblGrid>
        <w:gridCol w:w="10311"/>
      </w:tblGrid>
      <w:tr w:rsidR="00860090" w:rsidRPr="00860090" w14:paraId="7A3E4260" w14:textId="77777777" w:rsidTr="00860090">
        <w:tc>
          <w:tcPr>
            <w:tcW w:w="10201" w:type="dxa"/>
          </w:tcPr>
          <w:tbl>
            <w:tblPr>
              <w:tblStyle w:val="TableGrid"/>
              <w:tblW w:w="10085" w:type="dxa"/>
              <w:tblLook w:val="04A0" w:firstRow="1" w:lastRow="0" w:firstColumn="1" w:lastColumn="0" w:noHBand="0" w:noVBand="1"/>
            </w:tblPr>
            <w:tblGrid>
              <w:gridCol w:w="2193"/>
              <w:gridCol w:w="7892"/>
            </w:tblGrid>
            <w:tr w:rsidR="00860090" w:rsidRPr="00860090" w14:paraId="5E92FEE2" w14:textId="77777777" w:rsidTr="00860090">
              <w:tc>
                <w:tcPr>
                  <w:tcW w:w="1838" w:type="dxa"/>
                  <w:vAlign w:val="center"/>
                </w:tcPr>
                <w:p w14:paraId="1A1A3535" w14:textId="2DA84960"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Catégorie</w:t>
                  </w:r>
                </w:p>
                <w:p w14:paraId="786EF14D" w14:textId="6D1A7EED" w:rsidR="00860090" w:rsidRPr="00860090" w:rsidRDefault="00860090" w:rsidP="00860090">
                  <w:pPr>
                    <w:rPr>
                      <w:rFonts w:ascii="Arial" w:hAnsi="Arial" w:cs="Arial"/>
                      <w:sz w:val="28"/>
                      <w:szCs w:val="28"/>
                      <w:lang w:val="fr-CA"/>
                    </w:rPr>
                  </w:pPr>
                </w:p>
              </w:tc>
              <w:tc>
                <w:tcPr>
                  <w:tcW w:w="8247" w:type="dxa"/>
                  <w:vAlign w:val="center"/>
                </w:tcPr>
                <w:p w14:paraId="089D997C" w14:textId="77777777"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Obstacles spécifiques identifiés</w:t>
                  </w:r>
                </w:p>
                <w:p w14:paraId="532C1E4B" w14:textId="1F4005B0" w:rsidR="00860090" w:rsidRPr="00860090" w:rsidRDefault="00860090" w:rsidP="00860090">
                  <w:pPr>
                    <w:rPr>
                      <w:rFonts w:ascii="Arial" w:hAnsi="Arial" w:cs="Arial"/>
                      <w:sz w:val="28"/>
                      <w:szCs w:val="28"/>
                      <w:lang w:val="fr-CA"/>
                    </w:rPr>
                  </w:pPr>
                </w:p>
              </w:tc>
            </w:tr>
            <w:tr w:rsidR="00860090" w:rsidRPr="00860090" w14:paraId="41D6B034" w14:textId="77777777" w:rsidTr="00860090">
              <w:tc>
                <w:tcPr>
                  <w:tcW w:w="1838" w:type="dxa"/>
                </w:tcPr>
                <w:p w14:paraId="4849038F" w14:textId="4B402E86"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 législatifs</w:t>
                  </w:r>
                </w:p>
              </w:tc>
              <w:tc>
                <w:tcPr>
                  <w:tcW w:w="8247" w:type="dxa"/>
                </w:tcPr>
                <w:p w14:paraId="21C004A3" w14:textId="77777777"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Exigences strictes : La Loi électorale du Canada impose l'utilisation de bulletins de vote « papier-crayon » et des modèles spécifiques qui sont inaccessibles aux personnes ayant des problèmes de dextérité ou de mémoire.</w:t>
                  </w:r>
                </w:p>
                <w:p w14:paraId="5E7E9E94" w14:textId="77777777" w:rsidR="00860090" w:rsidRPr="00860090" w:rsidRDefault="00860090" w:rsidP="00860090">
                  <w:pPr>
                    <w:rPr>
                      <w:rFonts w:ascii="Arial" w:hAnsi="Arial" w:cs="Arial"/>
                      <w:sz w:val="28"/>
                      <w:szCs w:val="28"/>
                      <w:lang w:val="fr-CA"/>
                    </w:rPr>
                  </w:pPr>
                </w:p>
                <w:p w14:paraId="3A968AE7" w14:textId="322EE70E"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Dérogations en matière d'accessibilité : les directeurs du scrutin peuvent légalement utiliser des bureaux de vote inaccessibles s'il n'existe pas d'alternative appropriée.</w:t>
                  </w:r>
                </w:p>
                <w:p w14:paraId="56FCF883" w14:textId="77777777" w:rsidR="00860090" w:rsidRPr="00860090" w:rsidRDefault="00860090" w:rsidP="00860090">
                  <w:pPr>
                    <w:rPr>
                      <w:rFonts w:ascii="Arial" w:hAnsi="Arial" w:cs="Arial"/>
                      <w:sz w:val="28"/>
                      <w:szCs w:val="28"/>
                      <w:lang w:val="fr-CA"/>
                    </w:rPr>
                  </w:pPr>
                </w:p>
              </w:tc>
            </w:tr>
            <w:tr w:rsidR="00860090" w:rsidRPr="00860090" w14:paraId="528ED583" w14:textId="77777777" w:rsidTr="00860090">
              <w:tc>
                <w:tcPr>
                  <w:tcW w:w="1838" w:type="dxa"/>
                </w:tcPr>
                <w:p w14:paraId="643282F8" w14:textId="4C62CB0B"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Obstacles reliés à l’environnement du bureau de vote</w:t>
                  </w:r>
                </w:p>
              </w:tc>
              <w:tc>
                <w:tcPr>
                  <w:tcW w:w="8247" w:type="dxa"/>
                </w:tcPr>
                <w:p w14:paraId="75787022" w14:textId="2A21D733"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Surcharge sensorielle : un éclairage intense (fluorescent), un niveau sonore élevé et des foules présentes peuvent être accablants pour les électeurs souffrant de troubles cognitifs.</w:t>
                  </w:r>
                </w:p>
                <w:p w14:paraId="2872BD3E" w14:textId="77777777"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Endurance physique : les longs délais d'attente et le manque de sièges pour les personnes faisant la queue constituent des obstacles majeurs pour celles qui souffrent de fatigue ou de troubles physiques.</w:t>
                  </w:r>
                </w:p>
                <w:p w14:paraId="216FA161" w14:textId="54D2B4C9"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Environnement bâti : des bâtiments inaccessibles (par exemple, présence d'escaliers, absence de portes automatiques) et une signalisation d'orientation insuffisante.</w:t>
                  </w:r>
                </w:p>
              </w:tc>
            </w:tr>
            <w:tr w:rsidR="00860090" w:rsidRPr="00860090" w14:paraId="5013BE4F" w14:textId="77777777" w:rsidTr="00860090">
              <w:tc>
                <w:tcPr>
                  <w:tcW w:w="1838" w:type="dxa"/>
                </w:tcPr>
                <w:p w14:paraId="4CA1E32C" w14:textId="6F4998FD"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Obstacles reliés à la cognition et aux processus</w:t>
                  </w:r>
                </w:p>
              </w:tc>
              <w:tc>
                <w:tcPr>
                  <w:tcW w:w="8247" w:type="dxa"/>
                </w:tcPr>
                <w:p w14:paraId="7AB8E35C" w14:textId="77777777"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Complexité : le processus d'inscription et de vote peut prêter à confusion et entraîner une charge cognitive importante.</w:t>
                  </w:r>
                </w:p>
                <w:p w14:paraId="21F73ED4" w14:textId="77777777"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Difficultés de mémorisation : les électeurs peuvent avoir du mal à se souvenir des noms des candidats sans repères visuels tels que des photos ou des logos sur le bulletin de vote.</w:t>
                  </w:r>
                </w:p>
                <w:p w14:paraId="39781D95" w14:textId="757F1D77"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lastRenderedPageBreak/>
                    <w:t>Difficultés liées aux formulaires : suivre des instructions complexes et remplir des formulaires est difficile pour les personnes ayant des problèmes de dextérité ou de traitement de l'information.</w:t>
                  </w:r>
                </w:p>
              </w:tc>
            </w:tr>
            <w:tr w:rsidR="00860090" w:rsidRPr="00860090" w14:paraId="4F35D579" w14:textId="77777777" w:rsidTr="00860090">
              <w:tc>
                <w:tcPr>
                  <w:tcW w:w="1838" w:type="dxa"/>
                </w:tcPr>
                <w:p w14:paraId="478735E5" w14:textId="77777777" w:rsidR="00860090" w:rsidRPr="00860090" w:rsidRDefault="00860090" w:rsidP="00860090">
                  <w:pPr>
                    <w:rPr>
                      <w:rFonts w:ascii="Arial" w:hAnsi="Arial" w:cs="Arial"/>
                      <w:sz w:val="28"/>
                      <w:szCs w:val="28"/>
                      <w:lang w:val="fr-CA"/>
                    </w:rPr>
                  </w:pPr>
                </w:p>
                <w:p w14:paraId="027D3957" w14:textId="77777777" w:rsidR="00860090" w:rsidRPr="00860090" w:rsidRDefault="00860090" w:rsidP="00860090">
                  <w:pPr>
                    <w:rPr>
                      <w:rFonts w:ascii="Arial" w:hAnsi="Arial" w:cs="Arial"/>
                      <w:sz w:val="28"/>
                      <w:szCs w:val="28"/>
                      <w:lang w:val="fr-CA"/>
                    </w:rPr>
                  </w:pPr>
                </w:p>
                <w:p w14:paraId="33B6231D" w14:textId="77777777" w:rsidR="00860090" w:rsidRPr="00860090" w:rsidRDefault="00860090" w:rsidP="00860090">
                  <w:pPr>
                    <w:rPr>
                      <w:rFonts w:ascii="Arial" w:hAnsi="Arial" w:cs="Arial"/>
                      <w:sz w:val="28"/>
                      <w:szCs w:val="28"/>
                      <w:lang w:val="fr-CA"/>
                    </w:rPr>
                  </w:pPr>
                </w:p>
                <w:p w14:paraId="2D25F378" w14:textId="77777777" w:rsidR="00860090" w:rsidRPr="00860090" w:rsidRDefault="00860090" w:rsidP="00860090">
                  <w:pPr>
                    <w:rPr>
                      <w:rFonts w:ascii="Arial" w:hAnsi="Arial" w:cs="Arial"/>
                      <w:sz w:val="28"/>
                      <w:szCs w:val="28"/>
                      <w:lang w:val="fr-CA"/>
                    </w:rPr>
                  </w:pPr>
                </w:p>
                <w:p w14:paraId="2078CD18" w14:textId="289A4C4D"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Obstacles reliés à la communication et à l’information</w:t>
                  </w:r>
                </w:p>
              </w:tc>
              <w:tc>
                <w:tcPr>
                  <w:tcW w:w="8247" w:type="dxa"/>
                </w:tcPr>
                <w:p w14:paraId="05B01582" w14:textId="02140E9E"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Manque de sensibilisation : de nombreux électeurs ignorent encore l'existence des outils et services d'accessibilité (par exemple, les crayons à grosse prise ou l'aide au marquage du bulletin de vote). Inaccessibilité du site web : la présentation du site web d'Élections Canada est jugée complexe, surchargée et difficile à parcourir. Carte d'information de l'électeur: la conception actuelle de la carte est considérée comme « surchargée » et contient trop d'informations pour être assimilée facilement.</w:t>
                  </w:r>
                </w:p>
              </w:tc>
            </w:tr>
            <w:tr w:rsidR="00860090" w:rsidRPr="00860090" w14:paraId="5DCF8E71" w14:textId="77777777" w:rsidTr="00860090">
              <w:tc>
                <w:tcPr>
                  <w:tcW w:w="1838" w:type="dxa"/>
                </w:tcPr>
                <w:p w14:paraId="49C6428D" w14:textId="77777777" w:rsidR="00860090" w:rsidRPr="00860090" w:rsidRDefault="00860090" w:rsidP="00860090">
                  <w:pPr>
                    <w:rPr>
                      <w:rFonts w:ascii="Arial" w:hAnsi="Arial" w:cs="Arial"/>
                      <w:sz w:val="28"/>
                      <w:szCs w:val="28"/>
                      <w:lang w:val="fr-CA"/>
                    </w:rPr>
                  </w:pPr>
                </w:p>
                <w:p w14:paraId="0AE7E5A2" w14:textId="77777777" w:rsidR="00860090" w:rsidRPr="00860090" w:rsidRDefault="00860090" w:rsidP="00860090">
                  <w:pPr>
                    <w:rPr>
                      <w:rFonts w:ascii="Arial" w:hAnsi="Arial" w:cs="Arial"/>
                      <w:sz w:val="28"/>
                      <w:szCs w:val="28"/>
                      <w:lang w:val="fr-CA"/>
                    </w:rPr>
                  </w:pPr>
                </w:p>
                <w:p w14:paraId="14CABB8D" w14:textId="77777777" w:rsidR="00860090" w:rsidRPr="00860090" w:rsidRDefault="00860090" w:rsidP="00860090">
                  <w:pPr>
                    <w:rPr>
                      <w:rFonts w:ascii="Arial" w:hAnsi="Arial" w:cs="Arial"/>
                      <w:sz w:val="28"/>
                      <w:szCs w:val="28"/>
                      <w:lang w:val="fr-CA"/>
                    </w:rPr>
                  </w:pPr>
                </w:p>
                <w:p w14:paraId="67E65EC8" w14:textId="56817646"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Obstacles reliés au transport et aux  infrastructures</w:t>
                  </w:r>
                </w:p>
              </w:tc>
              <w:tc>
                <w:tcPr>
                  <w:tcW w:w="8247" w:type="dxa"/>
                </w:tcPr>
                <w:p w14:paraId="5F52DA71" w14:textId="77777777" w:rsidR="00860090" w:rsidRPr="00860090" w:rsidRDefault="00860090" w:rsidP="00860090">
                  <w:pPr>
                    <w:rPr>
                      <w:rFonts w:ascii="Arial" w:hAnsi="Arial" w:cs="Arial"/>
                      <w:sz w:val="28"/>
                      <w:szCs w:val="28"/>
                      <w:lang w:val="fr-CA"/>
                    </w:rPr>
                  </w:pPr>
                </w:p>
                <w:p w14:paraId="20B51411" w14:textId="3FA34216"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Transports en commun : les bureaux de vote ne sont pas toujours situés à proximité des lignes de transport en commun accessibles. Météo : la neige et le verglas peuvent empêcher l'accès aux bureaux de vote ainsi qu'aux boîtes aux lettres pour les personnes votant par correspondance.</w:t>
                  </w:r>
                </w:p>
              </w:tc>
            </w:tr>
            <w:tr w:rsidR="00860090" w:rsidRPr="00860090" w14:paraId="5F93000B" w14:textId="77777777" w:rsidTr="00860090">
              <w:tc>
                <w:tcPr>
                  <w:tcW w:w="1838" w:type="dxa"/>
                </w:tcPr>
                <w:p w14:paraId="7E985CB7" w14:textId="0F4384A7"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Obstacles spécifiques au système judiciaire</w:t>
                  </w:r>
                </w:p>
              </w:tc>
              <w:tc>
                <w:tcPr>
                  <w:tcW w:w="8247" w:type="dxa"/>
                </w:tcPr>
                <w:p w14:paraId="7BA76322" w14:textId="2C44BD22"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Obstacles liés à l'incarcération : les détenus sont confrontés à des « obstacles liés à l'alphabétisation », à des erreurs administratives commises par les agents de liaison et à un manque de campagne électorale et d'informations sur les candidats. Rejet des bulletins de vote : le taux de rejet des bulletins de vote est nettement plus élevé chez les détenus que chez le grand public.</w:t>
                  </w:r>
                </w:p>
              </w:tc>
            </w:tr>
            <w:tr w:rsidR="00860090" w:rsidRPr="00860090" w14:paraId="6DC189D4" w14:textId="77777777" w:rsidTr="00860090">
              <w:tc>
                <w:tcPr>
                  <w:tcW w:w="1838" w:type="dxa"/>
                </w:tcPr>
                <w:p w14:paraId="25758708" w14:textId="6418793F"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Obstacles spécifiques à l'emploi dans le cadre des élections</w:t>
                  </w:r>
                </w:p>
              </w:tc>
              <w:tc>
                <w:tcPr>
                  <w:tcW w:w="8247" w:type="dxa"/>
                </w:tcPr>
                <w:p w14:paraId="7B66E74A" w14:textId="77777777"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Exigences professionnelles trop strictes : les longues journées de travail (jusqu'à 13 heures) et les exigences telles que « rester debout pendant de longues périodes » empêchent de nombreuses personnes atteintes de lésions cérébrales de travailler dans les bureaux de vote.</w:t>
                  </w:r>
                </w:p>
                <w:p w14:paraId="7F57FE3E" w14:textId="35C3EBE8"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t>Formation insuffisante : la formation des agents électoraux néglige souvent les handicaps invisibles ou repose sur des représentations stéréotypées du handicap.</w:t>
                  </w:r>
                </w:p>
              </w:tc>
            </w:tr>
          </w:tbl>
          <w:p w14:paraId="33E52EB9" w14:textId="77777777" w:rsidR="00860090" w:rsidRPr="00860090" w:rsidRDefault="00860090" w:rsidP="00860090">
            <w:pPr>
              <w:rPr>
                <w:rFonts w:ascii="Arial" w:hAnsi="Arial" w:cs="Arial"/>
                <w:sz w:val="28"/>
                <w:szCs w:val="28"/>
                <w:lang w:val="fr-CA"/>
              </w:rPr>
            </w:pPr>
          </w:p>
        </w:tc>
      </w:tr>
      <w:tr w:rsidR="00860090" w:rsidRPr="00860090" w14:paraId="789F5A60" w14:textId="77777777" w:rsidTr="00860090">
        <w:tc>
          <w:tcPr>
            <w:tcW w:w="10201" w:type="dxa"/>
          </w:tcPr>
          <w:p w14:paraId="5DA406A2" w14:textId="54D3A1D0" w:rsidR="00860090" w:rsidRPr="00860090" w:rsidRDefault="00860090" w:rsidP="00860090">
            <w:pPr>
              <w:rPr>
                <w:rFonts w:ascii="Arial" w:hAnsi="Arial" w:cs="Arial"/>
                <w:sz w:val="28"/>
                <w:szCs w:val="28"/>
                <w:lang w:val="fr-CA"/>
              </w:rPr>
            </w:pPr>
            <w:r w:rsidRPr="00860090">
              <w:rPr>
                <w:rFonts w:ascii="Arial" w:hAnsi="Arial" w:cs="Arial"/>
                <w:sz w:val="28"/>
                <w:szCs w:val="28"/>
                <w:lang w:val="fr-CA"/>
              </w:rPr>
              <w:lastRenderedPageBreak/>
              <w:t>Pour plus d'informations et de détails, consultez notre rapport complet.</w:t>
            </w:r>
          </w:p>
        </w:tc>
      </w:tr>
    </w:tbl>
    <w:p w14:paraId="17EB5C6A" w14:textId="77777777" w:rsidR="00D42889" w:rsidRPr="00860090" w:rsidRDefault="00D42889" w:rsidP="00860090">
      <w:pPr>
        <w:rPr>
          <w:rFonts w:ascii="Arial" w:hAnsi="Arial" w:cs="Arial"/>
          <w:sz w:val="28"/>
          <w:szCs w:val="28"/>
          <w:lang w:val="fr-CA"/>
        </w:rPr>
      </w:pPr>
    </w:p>
    <w:p w14:paraId="75AB8325" w14:textId="77777777" w:rsidR="00F64DF3" w:rsidRPr="00860090" w:rsidRDefault="00F64DF3" w:rsidP="00860090">
      <w:pPr>
        <w:rPr>
          <w:rFonts w:ascii="Arial" w:hAnsi="Arial" w:cs="Arial"/>
          <w:sz w:val="28"/>
          <w:szCs w:val="28"/>
          <w:lang w:val="fr-CA"/>
        </w:rPr>
      </w:pPr>
    </w:p>
    <w:sectPr w:rsidR="00F64DF3" w:rsidRPr="008600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E46282B"/>
    <w:multiLevelType w:val="hybridMultilevel"/>
    <w:tmpl w:val="53486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7B4C51"/>
    <w:multiLevelType w:val="hybridMultilevel"/>
    <w:tmpl w:val="0C34AAA8"/>
    <w:lvl w:ilvl="0" w:tplc="0AE0912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2782497">
    <w:abstractNumId w:val="0"/>
  </w:num>
  <w:num w:numId="2" w16cid:durableId="55863327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00"/>
    <w:rsid w:val="000B4C84"/>
    <w:rsid w:val="000D1D14"/>
    <w:rsid w:val="00123519"/>
    <w:rsid w:val="00166652"/>
    <w:rsid w:val="00176225"/>
    <w:rsid w:val="001A33BA"/>
    <w:rsid w:val="00263A04"/>
    <w:rsid w:val="00307D6D"/>
    <w:rsid w:val="00364DEE"/>
    <w:rsid w:val="00396258"/>
    <w:rsid w:val="003C4F84"/>
    <w:rsid w:val="00411D00"/>
    <w:rsid w:val="004A1190"/>
    <w:rsid w:val="004E74ED"/>
    <w:rsid w:val="00681E6D"/>
    <w:rsid w:val="006E412E"/>
    <w:rsid w:val="00775A86"/>
    <w:rsid w:val="00860090"/>
    <w:rsid w:val="008D3283"/>
    <w:rsid w:val="00965628"/>
    <w:rsid w:val="00B018D1"/>
    <w:rsid w:val="00B3761A"/>
    <w:rsid w:val="00C262CD"/>
    <w:rsid w:val="00C34816"/>
    <w:rsid w:val="00C86CC8"/>
    <w:rsid w:val="00CC2C00"/>
    <w:rsid w:val="00D42889"/>
    <w:rsid w:val="00E745F1"/>
    <w:rsid w:val="00EB2691"/>
    <w:rsid w:val="00F127FE"/>
    <w:rsid w:val="00F64DF3"/>
    <w:rsid w:val="00FE4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D1B6"/>
  <w15:chartTrackingRefBased/>
  <w15:docId w15:val="{0E9A3F91-00B5-4C1C-AF9B-5CACF9A7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C00"/>
    <w:rPr>
      <w:rFonts w:eastAsiaTheme="majorEastAsia" w:cstheme="majorBidi"/>
      <w:color w:val="272727" w:themeColor="text1" w:themeTint="D8"/>
    </w:rPr>
  </w:style>
  <w:style w:type="paragraph" w:styleId="Title">
    <w:name w:val="Title"/>
    <w:basedOn w:val="Normal"/>
    <w:next w:val="Normal"/>
    <w:link w:val="TitleChar"/>
    <w:uiPriority w:val="10"/>
    <w:qFormat/>
    <w:rsid w:val="00CC2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C00"/>
    <w:pPr>
      <w:spacing w:before="160"/>
      <w:jc w:val="center"/>
    </w:pPr>
    <w:rPr>
      <w:i/>
      <w:iCs/>
      <w:color w:val="404040" w:themeColor="text1" w:themeTint="BF"/>
    </w:rPr>
  </w:style>
  <w:style w:type="character" w:customStyle="1" w:styleId="QuoteChar">
    <w:name w:val="Quote Char"/>
    <w:basedOn w:val="DefaultParagraphFont"/>
    <w:link w:val="Quote"/>
    <w:uiPriority w:val="29"/>
    <w:rsid w:val="00CC2C00"/>
    <w:rPr>
      <w:i/>
      <w:iCs/>
      <w:color w:val="404040" w:themeColor="text1" w:themeTint="BF"/>
    </w:rPr>
  </w:style>
  <w:style w:type="paragraph" w:styleId="ListParagraph">
    <w:name w:val="List Paragraph"/>
    <w:basedOn w:val="Normal"/>
    <w:uiPriority w:val="34"/>
    <w:qFormat/>
    <w:rsid w:val="00CC2C00"/>
    <w:pPr>
      <w:ind w:left="720"/>
      <w:contextualSpacing/>
    </w:pPr>
  </w:style>
  <w:style w:type="character" w:styleId="IntenseEmphasis">
    <w:name w:val="Intense Emphasis"/>
    <w:basedOn w:val="DefaultParagraphFont"/>
    <w:uiPriority w:val="21"/>
    <w:qFormat/>
    <w:rsid w:val="00CC2C00"/>
    <w:rPr>
      <w:i/>
      <w:iCs/>
      <w:color w:val="0F4761" w:themeColor="accent1" w:themeShade="BF"/>
    </w:rPr>
  </w:style>
  <w:style w:type="paragraph" w:styleId="IntenseQuote">
    <w:name w:val="Intense Quote"/>
    <w:basedOn w:val="Normal"/>
    <w:next w:val="Normal"/>
    <w:link w:val="IntenseQuoteChar"/>
    <w:uiPriority w:val="30"/>
    <w:qFormat/>
    <w:rsid w:val="00CC2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C00"/>
    <w:rPr>
      <w:i/>
      <w:iCs/>
      <w:color w:val="0F4761" w:themeColor="accent1" w:themeShade="BF"/>
    </w:rPr>
  </w:style>
  <w:style w:type="character" w:styleId="IntenseReference">
    <w:name w:val="Intense Reference"/>
    <w:basedOn w:val="DefaultParagraphFont"/>
    <w:uiPriority w:val="32"/>
    <w:qFormat/>
    <w:rsid w:val="00CC2C00"/>
    <w:rPr>
      <w:b/>
      <w:bCs/>
      <w:smallCaps/>
      <w:color w:val="0F4761" w:themeColor="accent1" w:themeShade="BF"/>
      <w:spacing w:val="5"/>
    </w:rPr>
  </w:style>
  <w:style w:type="table" w:styleId="TableGrid">
    <w:name w:val="Table Grid"/>
    <w:basedOn w:val="TableNormal"/>
    <w:uiPriority w:val="39"/>
    <w:rsid w:val="00F6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4DF3"/>
    <w:rPr>
      <w:b/>
      <w:bCs/>
    </w:rPr>
  </w:style>
  <w:style w:type="character" w:customStyle="1" w:styleId="citation-163">
    <w:name w:val="citation-163"/>
    <w:basedOn w:val="DefaultParagraphFont"/>
    <w:rsid w:val="00F64DF3"/>
  </w:style>
  <w:style w:type="character" w:customStyle="1" w:styleId="citation-162">
    <w:name w:val="citation-162"/>
    <w:basedOn w:val="DefaultParagraphFont"/>
    <w:rsid w:val="00F64DF3"/>
  </w:style>
  <w:style w:type="paragraph" w:styleId="Revision">
    <w:name w:val="Revision"/>
    <w:hidden/>
    <w:uiPriority w:val="99"/>
    <w:semiHidden/>
    <w:rsid w:val="00C26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242588-25e0-4df3-9770-7c87a826cfd4" xsi:nil="true"/>
    <lcf76f155ced4ddcb4097134ff3c332f xmlns="2d42c4ed-7e5f-46dd-a8be-7b779ccf37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EB2F040F9EE8449EF54E75F406891B" ma:contentTypeVersion="12" ma:contentTypeDescription="Create a new document." ma:contentTypeScope="" ma:versionID="f27ac9bd8281ab0f9ed5f6d07c1f6c4c">
  <xsd:schema xmlns:xsd="http://www.w3.org/2001/XMLSchema" xmlns:xs="http://www.w3.org/2001/XMLSchema" xmlns:p="http://schemas.microsoft.com/office/2006/metadata/properties" xmlns:ns2="2d42c4ed-7e5f-46dd-a8be-7b779ccf3701" xmlns:ns3="40242588-25e0-4df3-9770-7c87a826cfd4" targetNamespace="http://schemas.microsoft.com/office/2006/metadata/properties" ma:root="true" ma:fieldsID="59a0c94175a85e14f6809fe43159bd75" ns2:_="" ns3:_="">
    <xsd:import namespace="2d42c4ed-7e5f-46dd-a8be-7b779ccf3701"/>
    <xsd:import namespace="40242588-25e0-4df3-9770-7c87a826c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2c4ed-7e5f-46dd-a8be-7b779ccf3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92e0ba-14e3-432e-925e-85809a42eb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42588-25e0-4df3-9770-7c87a826cf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25c376-8a1d-4e32-a2ae-e1d0314a82ae}" ma:internalName="TaxCatchAll" ma:showField="CatchAllData" ma:web="40242588-25e0-4df3-9770-7c87a826c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13BF9-C280-413A-96A9-A8E170600E6D}">
  <ds:schemaRefs>
    <ds:schemaRef ds:uri="http://schemas.microsoft.com/sharepoint/v3/contenttype/forms"/>
  </ds:schemaRefs>
</ds:datastoreItem>
</file>

<file path=customXml/itemProps2.xml><?xml version="1.0" encoding="utf-8"?>
<ds:datastoreItem xmlns:ds="http://schemas.openxmlformats.org/officeDocument/2006/customXml" ds:itemID="{4CFA854F-E540-404E-BA5E-821C68A987E7}">
  <ds:schemaRefs>
    <ds:schemaRef ds:uri="http://schemas.microsoft.com/office/2006/metadata/properties"/>
    <ds:schemaRef ds:uri="http://schemas.microsoft.com/office/infopath/2007/PartnerControls"/>
    <ds:schemaRef ds:uri="40242588-25e0-4df3-9770-7c87a826cfd4"/>
    <ds:schemaRef ds:uri="2d42c4ed-7e5f-46dd-a8be-7b779ccf3701"/>
  </ds:schemaRefs>
</ds:datastoreItem>
</file>

<file path=customXml/itemProps3.xml><?xml version="1.0" encoding="utf-8"?>
<ds:datastoreItem xmlns:ds="http://schemas.openxmlformats.org/officeDocument/2006/customXml" ds:itemID="{2DB3B583-2B7D-4045-A5E6-C23961D49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2c4ed-7e5f-46dd-a8be-7b779ccf3701"/>
    <ds:schemaRef ds:uri="40242588-25e0-4df3-9770-7c87a826c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3493</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Laamanen</dc:creator>
  <cp:keywords/>
  <dc:description/>
  <cp:lastModifiedBy>Michelle McDonald</cp:lastModifiedBy>
  <cp:revision>2</cp:revision>
  <dcterms:created xsi:type="dcterms:W3CDTF">2026-07-20T18:04:00Z</dcterms:created>
  <dcterms:modified xsi:type="dcterms:W3CDTF">2026-07-20T18:04:00Z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0x01010012EB2F040F9EE8449EF54E75F406891B</vt:lpwstr>
  </property>
</Properties>
</file>